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251" w:rsidRDefault="003F5492">
      <w:pPr>
        <w:spacing w:beforeLines="10" w:before="24" w:afterLines="10" w:after="24" w:line="0" w:lineRule="atLeast"/>
        <w:jc w:val="center"/>
        <w:rPr>
          <w:rFonts w:ascii="Times New Roman" w:hAnsi="Times New Roman"/>
          <w:b/>
          <w:szCs w:val="21"/>
        </w:rPr>
      </w:pPr>
      <w:r>
        <w:rPr>
          <w:rFonts w:ascii="Arial" w:hAnsi="Arial" w:cs="Arial"/>
          <w:b/>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1032" type="#_x0000_t75" style="position:absolute;left:0;text-align:left;margin-left:209.45pt;margin-top:26.35pt;width:33.7pt;height:23.6pt;z-index:1;mso-width-relative:margin;mso-height-relative:margin">
            <v:imagedata r:id="rId8" o:title=""/>
          </v:shape>
        </w:pict>
      </w:r>
      <w:r w:rsidR="007270C2">
        <w:rPr>
          <w:rFonts w:ascii="Arial" w:hAnsi="Arial" w:cs="Arial"/>
          <w:b/>
          <w:szCs w:val="21"/>
        </w:rPr>
        <w:t xml:space="preserve">                                                                                                                               </w:t>
      </w:r>
      <w:r w:rsidR="007270C2">
        <w:rPr>
          <w:rFonts w:ascii="Times New Roman" w:hAnsi="Times New Roman"/>
          <w:b/>
          <w:szCs w:val="21"/>
        </w:rPr>
        <w:t>Testovací proužek One Step na zneužívání návykových látek</w:t>
      </w:r>
      <w:r w:rsidR="009706B0">
        <w:rPr>
          <w:rFonts w:ascii="Times New Roman" w:hAnsi="Times New Roman"/>
          <w:b/>
          <w:szCs w:val="21"/>
        </w:rPr>
        <w:t xml:space="preserve"> MDMA</w:t>
      </w:r>
      <w:bookmarkStart w:id="0" w:name="_GoBack"/>
      <w:bookmarkEnd w:id="0"/>
      <w:r w:rsidR="007270C2">
        <w:rPr>
          <w:rFonts w:ascii="Times New Roman" w:hAnsi="Times New Roman"/>
          <w:b/>
          <w:szCs w:val="21"/>
        </w:rPr>
        <w:t xml:space="preserve"> (moč)</w:t>
      </w:r>
    </w:p>
    <w:p w:rsidR="00EE7251" w:rsidRDefault="007270C2">
      <w:pPr>
        <w:spacing w:beforeLines="10" w:before="24" w:afterLines="10" w:after="24" w:line="0" w:lineRule="atLeast"/>
        <w:jc w:val="center"/>
        <w:rPr>
          <w:rFonts w:ascii="Times New Roman" w:hAnsi="Times New Roman"/>
          <w:b/>
          <w:szCs w:val="21"/>
        </w:rPr>
      </w:pPr>
      <w:r>
        <w:rPr>
          <w:rFonts w:ascii="Times New Roman" w:hAnsi="Times New Roman"/>
          <w:b/>
          <w:szCs w:val="21"/>
        </w:rPr>
        <w:t>Příbalová informace</w:t>
      </w:r>
    </w:p>
    <w:p w:rsidR="00EE7251" w:rsidRDefault="00EE7251">
      <w:pPr>
        <w:spacing w:line="80" w:lineRule="exact"/>
        <w:rPr>
          <w:rFonts w:ascii="Times New Roman" w:hAnsi="Times New Roman"/>
          <w:b/>
          <w:szCs w:val="21"/>
        </w:rPr>
      </w:pPr>
    </w:p>
    <w:p w:rsidR="00EE7251" w:rsidRDefault="007270C2">
      <w:pPr>
        <w:spacing w:beforeLines="10" w:before="24" w:afterLines="10" w:after="24" w:line="0" w:lineRule="atLeast"/>
        <w:rPr>
          <w:rFonts w:ascii="Times New Roman" w:hAnsi="Times New Roman"/>
          <w:sz w:val="12"/>
          <w:szCs w:val="12"/>
        </w:rPr>
      </w:pPr>
      <w:r>
        <w:rPr>
          <w:rFonts w:ascii="Times New Roman" w:hAnsi="Times New Roman"/>
          <w:sz w:val="12"/>
          <w:szCs w:val="12"/>
        </w:rPr>
        <w:t xml:space="preserve">Příbalová informace pro testování následujících drog: </w:t>
      </w:r>
    </w:p>
    <w:p w:rsidR="00EE7251" w:rsidRDefault="00F06C6A">
      <w:pPr>
        <w:autoSpaceDE w:val="0"/>
        <w:autoSpaceDN w:val="0"/>
        <w:adjustRightInd w:val="0"/>
        <w:spacing w:beforeLines="10" w:before="24" w:afterLines="10" w:after="24" w:line="0" w:lineRule="atLeast"/>
        <w:rPr>
          <w:rFonts w:ascii="Times New Roman" w:hAnsi="Times New Roman"/>
          <w:sz w:val="12"/>
          <w:szCs w:val="12"/>
        </w:rPr>
      </w:pPr>
      <w:r w:rsidRPr="00F06C6A">
        <w:rPr>
          <w:rFonts w:ascii="Times New Roman" w:hAnsi="Times New Roman"/>
          <w:sz w:val="12"/>
          <w:szCs w:val="12"/>
        </w:rPr>
        <w:t>Paracetamol, amfetamin, barbituráty, buprenorfin, benzodiazepiny, kokain, kotinin, klonazepam, extáze, ethylglukuronid, fentanyl, gabapentin, hydrokodon, hydromorfon, syntetický kanabinoid K2, K3 (AB-Pinaca), ketamin, kratom, diethylamid kyseliny lysergové, marihuana, EDDP, metadon, metamfetamin, metakvalon, metkatinon, methylendioxypyrovaleron, methylfenidát, 6-monoacetylmorfin, morfin, oxykodon, fencyklidin, pregabalin, propoxyfen, UR-144, karisoprodol, tramadol</w:t>
      </w:r>
      <w:bookmarkStart w:id="1" w:name="_Hlk225769924"/>
      <w:r w:rsidRPr="00F06C6A">
        <w:rPr>
          <w:rFonts w:ascii="Times New Roman" w:hAnsi="Times New Roman"/>
          <w:sz w:val="12"/>
          <w:szCs w:val="12"/>
        </w:rPr>
        <w:t xml:space="preserve"> ,</w:t>
      </w:r>
      <w:bookmarkEnd w:id="1"/>
      <w:r w:rsidRPr="00F06C6A">
        <w:rPr>
          <w:rFonts w:ascii="Times New Roman" w:hAnsi="Times New Roman"/>
          <w:sz w:val="12"/>
          <w:szCs w:val="12"/>
        </w:rPr>
        <w:t xml:space="preserve"> tricyklická </w:t>
      </w:r>
      <w:r w:rsidRPr="0040799C">
        <w:rPr>
          <w:rFonts w:ascii="Times New Roman" w:hAnsi="Times New Roman"/>
          <w:sz w:val="12"/>
          <w:szCs w:val="12"/>
        </w:rPr>
        <w:t>antidepresiva, zolpidem</w:t>
      </w:r>
      <w:r w:rsidR="007270C2" w:rsidRPr="0040799C">
        <w:rPr>
          <w:rFonts w:ascii="Times New Roman" w:hAnsi="Times New Roman"/>
          <w:sz w:val="12"/>
          <w:szCs w:val="12"/>
        </w:rPr>
        <w:t>.</w:t>
      </w:r>
    </w:p>
    <w:p w:rsidR="00EE7251" w:rsidRDefault="007270C2">
      <w:pPr>
        <w:pStyle w:val="BodyText"/>
        <w:spacing w:beforeLines="10" w:before="24" w:afterLines="10" w:after="24" w:line="0" w:lineRule="atLeast"/>
        <w:rPr>
          <w:rFonts w:ascii="Times New Roman" w:hAnsi="Times New Roman"/>
          <w:i w:val="0"/>
          <w:iCs w:val="0"/>
          <w:color w:val="auto"/>
          <w:kern w:val="2"/>
          <w:sz w:val="12"/>
          <w:szCs w:val="12"/>
          <w:lang w:eastAsia="zh-CN"/>
        </w:rPr>
      </w:pPr>
      <w:r>
        <w:rPr>
          <w:rFonts w:ascii="Times New Roman" w:hAnsi="Times New Roman"/>
          <w:i w:val="0"/>
          <w:iCs w:val="0"/>
          <w:color w:val="auto"/>
          <w:kern w:val="2"/>
          <w:sz w:val="12"/>
          <w:szCs w:val="12"/>
          <w:lang w:eastAsia="zh-CN"/>
        </w:rPr>
        <w:t xml:space="preserve">Rychlý, jednokrokový screeningový test pro kvalitativní detekci drog a jejich metabolitů v lidské moči. </w:t>
      </w:r>
    </w:p>
    <w:p w:rsidR="00EE7251" w:rsidRDefault="007270C2">
      <w:pPr>
        <w:overflowPunct w:val="0"/>
        <w:autoSpaceDE w:val="0"/>
        <w:autoSpaceDN w:val="0"/>
        <w:adjustRightInd w:val="0"/>
        <w:spacing w:line="0" w:lineRule="atLeast"/>
        <w:textAlignment w:val="baseline"/>
        <w:rPr>
          <w:rFonts w:ascii="Times New Roman" w:hAnsi="Times New Roman"/>
          <w:sz w:val="12"/>
          <w:szCs w:val="12"/>
        </w:rPr>
      </w:pPr>
      <w:r>
        <w:rPr>
          <w:rFonts w:ascii="Times New Roman" w:hAnsi="Times New Roman"/>
          <w:sz w:val="12"/>
          <w:szCs w:val="12"/>
        </w:rPr>
        <w:t xml:space="preserve">Pouze pro profesionální diagnostické použití </w:t>
      </w:r>
      <w:r>
        <w:rPr>
          <w:rFonts w:ascii="Times New Roman" w:hAnsi="Times New Roman"/>
          <w:i/>
          <w:sz w:val="12"/>
          <w:szCs w:val="12"/>
        </w:rPr>
        <w:t>in vitro</w:t>
      </w:r>
      <w:r>
        <w:rPr>
          <w:rFonts w:ascii="Times New Roman" w:hAnsi="Times New Roman"/>
          <w:sz w:val="12"/>
          <w:szCs w:val="12"/>
        </w:rPr>
        <w:t xml:space="preserve">. </w:t>
      </w:r>
    </w:p>
    <w:p w:rsidR="00EE7251" w:rsidRDefault="007270C2">
      <w:pPr>
        <w:pStyle w:val="Heading2"/>
        <w:shd w:val="clear" w:color="auto" w:fill="000000"/>
        <w:spacing w:before="80" w:after="80" w:line="0" w:lineRule="atLeast"/>
        <w:jc w:val="center"/>
        <w:rPr>
          <w:rFonts w:ascii="Times New Roman" w:hAnsi="Times New Roman"/>
          <w:sz w:val="12"/>
          <w:szCs w:val="12"/>
        </w:rPr>
      </w:pPr>
      <w:r>
        <w:rPr>
          <w:rFonts w:ascii="Times New Roman" w:hAnsi="Times New Roman"/>
          <w:sz w:val="12"/>
          <w:szCs w:val="12"/>
        </w:rPr>
        <w:t>URČENÉ POUŽITÍ</w:t>
      </w:r>
    </w:p>
    <w:p w:rsidR="00EE7251" w:rsidRDefault="007270C2">
      <w:pPr>
        <w:spacing w:beforeLines="10" w:before="24" w:afterLines="10" w:after="24" w:line="0" w:lineRule="atLeast"/>
        <w:rPr>
          <w:rFonts w:ascii="Times New Roman" w:hAnsi="Times New Roman"/>
          <w:sz w:val="12"/>
          <w:szCs w:val="12"/>
        </w:rPr>
      </w:pPr>
      <w:r>
        <w:rPr>
          <w:rFonts w:ascii="Times New Roman" w:hAnsi="Times New Roman"/>
          <w:sz w:val="12"/>
          <w:szCs w:val="12"/>
        </w:rPr>
        <w:t>Testování moči na přítomnost návykových látek sahá od jednoduchých imunologických testů až po složité analytické postupy. Díky své rychlosti a citlivosti se imunologické testy staly nejrozšířenější metodou pro screening moči na přítomnost více návykových látek.</w:t>
      </w:r>
    </w:p>
    <w:p w:rsidR="00EE7251" w:rsidRDefault="007270C2">
      <w:pPr>
        <w:spacing w:beforeLines="10" w:before="24" w:afterLines="10" w:after="24" w:line="0" w:lineRule="atLeast"/>
        <w:rPr>
          <w:rFonts w:ascii="Times New Roman" w:hAnsi="Times New Roman"/>
          <w:color w:val="000000"/>
          <w:sz w:val="12"/>
          <w:szCs w:val="12"/>
        </w:rPr>
      </w:pPr>
      <w:r>
        <w:rPr>
          <w:rFonts w:ascii="Times New Roman" w:hAnsi="Times New Roman"/>
          <w:b/>
          <w:sz w:val="12"/>
          <w:szCs w:val="12"/>
        </w:rPr>
        <w:t xml:space="preserve">Jednokrokový testovací proužek na zneužívání drog (moč) </w:t>
      </w:r>
      <w:r>
        <w:rPr>
          <w:rFonts w:ascii="Times New Roman" w:hAnsi="Times New Roman"/>
          <w:sz w:val="12"/>
          <w:szCs w:val="12"/>
        </w:rPr>
        <w:t xml:space="preserve">je chromatografický imunotest s laterálním tokem pro </w:t>
      </w:r>
      <w:r>
        <w:rPr>
          <w:rFonts w:ascii="Times New Roman" w:hAnsi="Times New Roman"/>
          <w:color w:val="000000"/>
          <w:sz w:val="12"/>
          <w:szCs w:val="12"/>
        </w:rPr>
        <w:t>kvalitativní detekci drog a jejich metabolitů v moči při následujících mezních koncentracích v moči:</w:t>
      </w:r>
      <w:r>
        <w:rPr>
          <w:rFonts w:ascii="Times New Roman" w:hAnsi="Times New Roman"/>
          <w:color w:val="000000"/>
          <w:sz w:val="12"/>
          <w:szCs w:val="12"/>
          <w:vertAlign w:val="superscript"/>
        </w:rPr>
        <w:t>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0" w:type="dxa"/>
        </w:tblCellMar>
        <w:tblLook w:val="0000" w:firstRow="0" w:lastRow="0" w:firstColumn="0" w:lastColumn="0" w:noHBand="0" w:noVBand="0"/>
      </w:tblPr>
      <w:tblGrid>
        <w:gridCol w:w="1975"/>
        <w:gridCol w:w="1930"/>
        <w:gridCol w:w="915"/>
      </w:tblGrid>
      <w:tr w:rsidR="00872005" w:rsidTr="00084EE9">
        <w:trPr>
          <w:trHeight w:val="20"/>
          <w:jc w:val="center"/>
        </w:trPr>
        <w:tc>
          <w:tcPr>
            <w:tcW w:w="1975" w:type="dxa"/>
            <w:vAlign w:val="center"/>
          </w:tcPr>
          <w:p w:rsidR="00EE7251" w:rsidRDefault="007270C2">
            <w:pPr>
              <w:pStyle w:val="BodyText3"/>
              <w:spacing w:beforeLines="10" w:before="24" w:afterLines="10" w:after="24" w:line="0" w:lineRule="atLeast"/>
              <w:ind w:right="0"/>
              <w:jc w:val="center"/>
              <w:rPr>
                <w:rFonts w:ascii="Times New Roman" w:hAnsi="Times New Roman"/>
                <w:b/>
                <w:color w:val="auto"/>
                <w:spacing w:val="0"/>
                <w:sz w:val="12"/>
                <w:szCs w:val="12"/>
                <w:lang w:eastAsia="zh-CN"/>
              </w:rPr>
            </w:pPr>
            <w:r>
              <w:rPr>
                <w:rFonts w:ascii="Times New Roman" w:hAnsi="Times New Roman"/>
                <w:b/>
                <w:color w:val="auto"/>
                <w:spacing w:val="0"/>
                <w:sz w:val="12"/>
                <w:szCs w:val="12"/>
                <w:lang w:eastAsia="zh-CN"/>
              </w:rPr>
              <w:t>Test</w:t>
            </w:r>
          </w:p>
        </w:tc>
        <w:tc>
          <w:tcPr>
            <w:tcW w:w="1930" w:type="dxa"/>
            <w:vAlign w:val="center"/>
          </w:tcPr>
          <w:p w:rsidR="00EE7251" w:rsidRDefault="007270C2">
            <w:pPr>
              <w:pStyle w:val="BodyText3"/>
              <w:spacing w:beforeLines="10" w:before="24" w:afterLines="10" w:after="24" w:line="0" w:lineRule="atLeast"/>
              <w:ind w:right="0"/>
              <w:jc w:val="center"/>
              <w:rPr>
                <w:rFonts w:ascii="Times New Roman" w:hAnsi="Times New Roman"/>
                <w:b/>
                <w:color w:val="auto"/>
                <w:spacing w:val="0"/>
                <w:sz w:val="12"/>
                <w:szCs w:val="12"/>
                <w:lang w:eastAsia="zh-CN"/>
              </w:rPr>
            </w:pPr>
            <w:r>
              <w:rPr>
                <w:rFonts w:ascii="Times New Roman" w:hAnsi="Times New Roman"/>
                <w:b/>
                <w:color w:val="auto"/>
                <w:spacing w:val="0"/>
                <w:sz w:val="12"/>
                <w:szCs w:val="12"/>
                <w:lang w:eastAsia="zh-CN"/>
              </w:rPr>
              <w:t>Kalibrátor</w:t>
            </w:r>
          </w:p>
        </w:tc>
        <w:tc>
          <w:tcPr>
            <w:tcW w:w="915" w:type="dxa"/>
            <w:vAlign w:val="center"/>
          </w:tcPr>
          <w:p w:rsidR="00EE7251" w:rsidRDefault="007270C2">
            <w:pPr>
              <w:pStyle w:val="BodyText3"/>
              <w:spacing w:beforeLines="10" w:before="24" w:afterLines="10" w:after="24" w:line="0" w:lineRule="atLeast"/>
              <w:ind w:right="0"/>
              <w:jc w:val="center"/>
              <w:rPr>
                <w:rFonts w:ascii="Times New Roman" w:hAnsi="Times New Roman"/>
                <w:b/>
                <w:color w:val="auto"/>
                <w:spacing w:val="0"/>
                <w:sz w:val="12"/>
                <w:szCs w:val="12"/>
                <w:lang w:eastAsia="zh-CN"/>
              </w:rPr>
            </w:pPr>
            <w:r>
              <w:rPr>
                <w:rFonts w:ascii="Times New Roman" w:hAnsi="Times New Roman"/>
                <w:b/>
                <w:color w:val="auto"/>
                <w:spacing w:val="0"/>
                <w:sz w:val="12"/>
                <w:szCs w:val="12"/>
                <w:lang w:eastAsia="zh-CN"/>
              </w:rPr>
              <w:t>Hraniční hodnota (ng/ml)</w:t>
            </w:r>
          </w:p>
        </w:tc>
      </w:tr>
      <w:tr w:rsidR="00872005" w:rsidTr="00084EE9">
        <w:trPr>
          <w:trHeight w:val="20"/>
          <w:jc w:val="center"/>
        </w:trPr>
        <w:tc>
          <w:tcPr>
            <w:tcW w:w="1975" w:type="dxa"/>
            <w:vAlign w:val="center"/>
          </w:tcPr>
          <w:p w:rsidR="00EE7251" w:rsidRDefault="007270C2">
            <w:pPr>
              <w:pStyle w:val="BodyText3"/>
              <w:spacing w:beforeLines="10" w:before="24" w:afterLines="10" w:after="24" w:line="0" w:lineRule="atLeast"/>
              <w:ind w:right="0"/>
              <w:jc w:val="left"/>
              <w:rPr>
                <w:rFonts w:ascii="Times New Roman" w:hAnsi="Times New Roman"/>
                <w:color w:val="auto"/>
                <w:spacing w:val="0"/>
                <w:sz w:val="12"/>
                <w:szCs w:val="12"/>
                <w:lang w:eastAsia="zh-CN"/>
              </w:rPr>
            </w:pPr>
            <w:r>
              <w:rPr>
                <w:rFonts w:ascii="Times New Roman" w:hAnsi="Times New Roman"/>
                <w:bCs/>
                <w:color w:val="auto"/>
                <w:spacing w:val="0"/>
                <w:sz w:val="12"/>
                <w:szCs w:val="12"/>
                <w:lang w:eastAsia="zh-CN"/>
              </w:rPr>
              <w:t xml:space="preserve">Paracetamol </w:t>
            </w:r>
            <w:r>
              <w:rPr>
                <w:rFonts w:ascii="Times New Roman" w:hAnsi="Times New Roman"/>
                <w:color w:val="auto"/>
                <w:spacing w:val="0"/>
                <w:sz w:val="12"/>
                <w:szCs w:val="12"/>
                <w:lang w:eastAsia="zh-CN"/>
              </w:rPr>
              <w:t>(ACE)</w:t>
            </w:r>
          </w:p>
        </w:tc>
        <w:tc>
          <w:tcPr>
            <w:tcW w:w="1930" w:type="dxa"/>
            <w:vAlign w:val="center"/>
          </w:tcPr>
          <w:p w:rsidR="00EE7251" w:rsidRDefault="007270C2">
            <w:pPr>
              <w:pStyle w:val="BodyText3"/>
              <w:spacing w:beforeLines="10" w:before="24" w:afterLines="10" w:after="24" w:line="0" w:lineRule="atLeast"/>
              <w:ind w:right="0"/>
              <w:rPr>
                <w:rFonts w:ascii="Times New Roman" w:hAnsi="Times New Roman"/>
                <w:b/>
                <w:color w:val="auto"/>
                <w:spacing w:val="0"/>
                <w:sz w:val="12"/>
                <w:szCs w:val="12"/>
                <w:lang w:eastAsia="zh-CN"/>
              </w:rPr>
            </w:pPr>
            <w:bookmarkStart w:id="2" w:name="OLE_LINK3"/>
            <w:r>
              <w:rPr>
                <w:rFonts w:ascii="Times New Roman" w:hAnsi="Times New Roman"/>
                <w:bCs/>
                <w:color w:val="auto"/>
                <w:spacing w:val="0"/>
                <w:sz w:val="12"/>
                <w:szCs w:val="12"/>
                <w:lang w:eastAsia="zh-CN"/>
              </w:rPr>
              <w:t>Paracetamol</w:t>
            </w:r>
            <w:bookmarkEnd w:id="2"/>
          </w:p>
        </w:tc>
        <w:tc>
          <w:tcPr>
            <w:tcW w:w="915" w:type="dxa"/>
            <w:vAlign w:val="center"/>
          </w:tcPr>
          <w:p w:rsidR="00EE7251" w:rsidRDefault="007270C2">
            <w:pPr>
              <w:pStyle w:val="BodyText3"/>
              <w:spacing w:beforeLines="10" w:before="24" w:afterLines="10" w:after="24" w:line="0" w:lineRule="atLeast"/>
              <w:ind w:right="0"/>
              <w:jc w:val="center"/>
              <w:rPr>
                <w:rFonts w:ascii="Times New Roman" w:hAnsi="Times New Roman"/>
                <w:color w:val="auto"/>
                <w:spacing w:val="0"/>
                <w:sz w:val="12"/>
                <w:szCs w:val="12"/>
                <w:lang w:eastAsia="zh-CN"/>
              </w:rPr>
            </w:pPr>
            <w:r>
              <w:rPr>
                <w:rFonts w:ascii="Times New Roman" w:hAnsi="Times New Roman"/>
                <w:color w:val="auto"/>
                <w:spacing w:val="0"/>
                <w:sz w:val="12"/>
                <w:szCs w:val="12"/>
                <w:lang w:eastAsia="zh-CN"/>
              </w:rPr>
              <w:t>5 000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Amfetamin (AMP)</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D-amfetamin</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1 000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Amfetamin (AMP)</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D-amfetamin</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500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Amfetamin (AMP)</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D-amfetamin</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300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Barbituráty (BAR)</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bCs/>
                <w:sz w:val="12"/>
                <w:szCs w:val="12"/>
              </w:rPr>
              <w:t>Sekobarbital</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300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Barbituráty (BAR)</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bCs/>
                <w:sz w:val="12"/>
                <w:szCs w:val="12"/>
              </w:rPr>
              <w:t>Sekobarbital</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200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Buprenorfin (BUP)</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Buprenorfin</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10</w:t>
            </w:r>
          </w:p>
        </w:tc>
      </w:tr>
      <w:tr w:rsidR="00872005" w:rsidTr="00084EE9">
        <w:trPr>
          <w:trHeight w:val="20"/>
          <w:jc w:val="center"/>
        </w:trPr>
        <w:tc>
          <w:tcPr>
            <w:tcW w:w="1975" w:type="dxa"/>
            <w:vAlign w:val="center"/>
          </w:tcPr>
          <w:p w:rsidR="00EE7251" w:rsidRDefault="007270C2">
            <w:pPr>
              <w:pStyle w:val="BodyText3"/>
              <w:spacing w:beforeLines="10" w:before="24" w:afterLines="10" w:after="24" w:line="0" w:lineRule="atLeast"/>
              <w:ind w:right="0"/>
              <w:jc w:val="left"/>
              <w:rPr>
                <w:rFonts w:ascii="Times New Roman" w:hAnsi="Times New Roman"/>
                <w:color w:val="auto"/>
                <w:spacing w:val="0"/>
                <w:sz w:val="12"/>
                <w:szCs w:val="12"/>
              </w:rPr>
            </w:pPr>
            <w:r>
              <w:rPr>
                <w:rFonts w:ascii="Times New Roman" w:hAnsi="Times New Roman"/>
                <w:color w:val="auto"/>
                <w:spacing w:val="0"/>
                <w:sz w:val="12"/>
                <w:szCs w:val="12"/>
              </w:rPr>
              <w:t>Benzodiazepiny (BZO)</w:t>
            </w:r>
          </w:p>
        </w:tc>
        <w:tc>
          <w:tcPr>
            <w:tcW w:w="1930" w:type="dxa"/>
            <w:vAlign w:val="center"/>
          </w:tcPr>
          <w:p w:rsidR="00EE7251" w:rsidRDefault="007270C2">
            <w:pPr>
              <w:pStyle w:val="BodyText3"/>
              <w:spacing w:beforeLines="10" w:before="24" w:afterLines="10" w:after="24" w:line="0" w:lineRule="atLeast"/>
              <w:ind w:right="0"/>
              <w:jc w:val="left"/>
              <w:rPr>
                <w:rFonts w:ascii="Times New Roman" w:hAnsi="Times New Roman"/>
                <w:color w:val="auto"/>
                <w:spacing w:val="0"/>
                <w:sz w:val="12"/>
                <w:szCs w:val="12"/>
              </w:rPr>
            </w:pPr>
            <w:r>
              <w:rPr>
                <w:rFonts w:ascii="Times New Roman" w:hAnsi="Times New Roman"/>
                <w:color w:val="auto"/>
                <w:spacing w:val="0"/>
                <w:sz w:val="12"/>
                <w:szCs w:val="12"/>
              </w:rPr>
              <w:t>Oxazepam</w:t>
            </w:r>
          </w:p>
        </w:tc>
        <w:tc>
          <w:tcPr>
            <w:tcW w:w="915" w:type="dxa"/>
            <w:vAlign w:val="center"/>
          </w:tcPr>
          <w:p w:rsidR="00EE7251" w:rsidRDefault="007270C2">
            <w:pPr>
              <w:pStyle w:val="BodyText3"/>
              <w:spacing w:beforeLines="10" w:before="24" w:afterLines="10" w:after="24" w:line="0" w:lineRule="atLeast"/>
              <w:ind w:right="0"/>
              <w:jc w:val="center"/>
              <w:rPr>
                <w:rFonts w:ascii="Times New Roman" w:hAnsi="Times New Roman"/>
                <w:color w:val="auto"/>
                <w:spacing w:val="0"/>
                <w:sz w:val="12"/>
                <w:szCs w:val="12"/>
                <w:lang w:eastAsia="zh-CN"/>
              </w:rPr>
            </w:pPr>
            <w:r>
              <w:rPr>
                <w:rFonts w:ascii="Times New Roman" w:hAnsi="Times New Roman"/>
                <w:color w:val="auto"/>
                <w:spacing w:val="0"/>
                <w:sz w:val="12"/>
                <w:szCs w:val="12"/>
              </w:rPr>
              <w:t>300</w:t>
            </w:r>
          </w:p>
        </w:tc>
      </w:tr>
      <w:tr w:rsidR="00872005" w:rsidTr="00084EE9">
        <w:trPr>
          <w:trHeight w:val="20"/>
          <w:jc w:val="center"/>
        </w:trPr>
        <w:tc>
          <w:tcPr>
            <w:tcW w:w="1975" w:type="dxa"/>
            <w:vAlign w:val="center"/>
          </w:tcPr>
          <w:p w:rsidR="00EE7251" w:rsidRDefault="007270C2">
            <w:pPr>
              <w:pStyle w:val="BodyText3"/>
              <w:spacing w:beforeLines="10" w:before="24" w:afterLines="10" w:after="24" w:line="0" w:lineRule="atLeast"/>
              <w:ind w:right="0"/>
              <w:jc w:val="left"/>
              <w:rPr>
                <w:rFonts w:ascii="Times New Roman" w:hAnsi="Times New Roman"/>
                <w:color w:val="auto"/>
                <w:spacing w:val="0"/>
                <w:sz w:val="12"/>
                <w:szCs w:val="12"/>
              </w:rPr>
            </w:pPr>
            <w:r>
              <w:rPr>
                <w:rFonts w:ascii="Times New Roman" w:hAnsi="Times New Roman"/>
                <w:color w:val="auto"/>
                <w:spacing w:val="0"/>
                <w:sz w:val="12"/>
                <w:szCs w:val="12"/>
              </w:rPr>
              <w:t>Benzodiazepiny (BZO)</w:t>
            </w:r>
          </w:p>
        </w:tc>
        <w:tc>
          <w:tcPr>
            <w:tcW w:w="1930" w:type="dxa"/>
            <w:vAlign w:val="center"/>
          </w:tcPr>
          <w:p w:rsidR="00EE7251" w:rsidRDefault="007270C2">
            <w:pPr>
              <w:pStyle w:val="BodyText3"/>
              <w:spacing w:beforeLines="10" w:before="24" w:afterLines="10" w:after="24" w:line="0" w:lineRule="atLeast"/>
              <w:ind w:right="0"/>
              <w:jc w:val="left"/>
              <w:rPr>
                <w:rFonts w:ascii="Times New Roman" w:hAnsi="Times New Roman"/>
                <w:color w:val="auto"/>
                <w:spacing w:val="0"/>
                <w:sz w:val="12"/>
                <w:szCs w:val="12"/>
              </w:rPr>
            </w:pPr>
            <w:r>
              <w:rPr>
                <w:rFonts w:ascii="Times New Roman" w:hAnsi="Times New Roman"/>
                <w:color w:val="auto"/>
                <w:spacing w:val="0"/>
                <w:sz w:val="12"/>
                <w:szCs w:val="12"/>
              </w:rPr>
              <w:t>Oxazepam</w:t>
            </w:r>
          </w:p>
        </w:tc>
        <w:tc>
          <w:tcPr>
            <w:tcW w:w="915" w:type="dxa"/>
            <w:vAlign w:val="center"/>
          </w:tcPr>
          <w:p w:rsidR="00EE7251" w:rsidRDefault="007270C2">
            <w:pPr>
              <w:pStyle w:val="BodyText3"/>
              <w:spacing w:beforeLines="10" w:before="24" w:afterLines="10" w:after="24" w:line="0" w:lineRule="atLeast"/>
              <w:ind w:right="0"/>
              <w:jc w:val="center"/>
              <w:rPr>
                <w:rFonts w:ascii="Times New Roman" w:hAnsi="Times New Roman"/>
                <w:color w:val="auto"/>
                <w:spacing w:val="0"/>
                <w:sz w:val="12"/>
                <w:szCs w:val="12"/>
                <w:lang w:eastAsia="zh-CN"/>
              </w:rPr>
            </w:pPr>
            <w:r>
              <w:rPr>
                <w:rFonts w:ascii="Times New Roman" w:hAnsi="Times New Roman"/>
                <w:color w:val="auto"/>
                <w:spacing w:val="0"/>
                <w:sz w:val="12"/>
                <w:szCs w:val="12"/>
              </w:rPr>
              <w:t>200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Kokain (COC)</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Benzoylecgonin</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300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Kokain (COC)</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Benzoylecgonin</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150</w:t>
            </w:r>
          </w:p>
        </w:tc>
      </w:tr>
      <w:tr w:rsidR="00872005" w:rsidTr="00084EE9">
        <w:trPr>
          <w:trHeight w:val="20"/>
          <w:jc w:val="center"/>
        </w:trPr>
        <w:tc>
          <w:tcPr>
            <w:tcW w:w="1975" w:type="dxa"/>
            <w:vAlign w:val="center"/>
          </w:tcPr>
          <w:p w:rsidR="00EE7251" w:rsidRDefault="007270C2">
            <w:pPr>
              <w:pStyle w:val="BodyText3"/>
              <w:spacing w:beforeLines="10" w:before="24" w:afterLines="10" w:after="24" w:line="0" w:lineRule="atLeast"/>
              <w:ind w:right="0"/>
              <w:jc w:val="left"/>
              <w:rPr>
                <w:rFonts w:ascii="Times New Roman" w:hAnsi="Times New Roman"/>
                <w:color w:val="auto"/>
                <w:spacing w:val="0"/>
                <w:kern w:val="2"/>
                <w:sz w:val="12"/>
                <w:szCs w:val="12"/>
                <w:lang w:eastAsia="zh-CN"/>
              </w:rPr>
            </w:pPr>
            <w:r>
              <w:rPr>
                <w:rFonts w:ascii="Times New Roman" w:hAnsi="Times New Roman"/>
                <w:color w:val="auto"/>
                <w:spacing w:val="0"/>
                <w:kern w:val="2"/>
                <w:sz w:val="12"/>
                <w:szCs w:val="12"/>
                <w:lang w:eastAsia="zh-CN"/>
              </w:rPr>
              <w:t>Kotin (COT)</w:t>
            </w:r>
          </w:p>
        </w:tc>
        <w:tc>
          <w:tcPr>
            <w:tcW w:w="1930" w:type="dxa"/>
            <w:vAlign w:val="center"/>
          </w:tcPr>
          <w:p w:rsidR="00EE7251" w:rsidRDefault="007270C2">
            <w:pPr>
              <w:pStyle w:val="BodyText3"/>
              <w:spacing w:beforeLines="10" w:before="24" w:afterLines="10" w:after="24" w:line="0" w:lineRule="atLeast"/>
              <w:ind w:right="0"/>
              <w:jc w:val="left"/>
              <w:rPr>
                <w:rFonts w:ascii="Times New Roman" w:hAnsi="Times New Roman"/>
                <w:color w:val="auto"/>
                <w:spacing w:val="0"/>
                <w:kern w:val="2"/>
                <w:sz w:val="12"/>
                <w:szCs w:val="12"/>
                <w:lang w:eastAsia="zh-CN"/>
              </w:rPr>
            </w:pPr>
            <w:r>
              <w:rPr>
                <w:rFonts w:ascii="Times New Roman" w:hAnsi="Times New Roman"/>
                <w:color w:val="auto"/>
                <w:spacing w:val="0"/>
                <w:kern w:val="2"/>
                <w:sz w:val="12"/>
                <w:szCs w:val="12"/>
                <w:lang w:eastAsia="zh-CN"/>
              </w:rPr>
              <w:t>Kotin</w:t>
            </w:r>
          </w:p>
        </w:tc>
        <w:tc>
          <w:tcPr>
            <w:tcW w:w="915" w:type="dxa"/>
            <w:vAlign w:val="center"/>
          </w:tcPr>
          <w:p w:rsidR="00EE7251" w:rsidRDefault="007270C2">
            <w:pPr>
              <w:pStyle w:val="BodyText3"/>
              <w:spacing w:beforeLines="10" w:before="24" w:afterLines="10" w:after="24" w:line="0" w:lineRule="atLeast"/>
              <w:ind w:right="0"/>
              <w:jc w:val="center"/>
              <w:rPr>
                <w:rFonts w:ascii="Times New Roman" w:hAnsi="Times New Roman"/>
                <w:color w:val="auto"/>
                <w:spacing w:val="0"/>
                <w:kern w:val="2"/>
                <w:sz w:val="12"/>
                <w:szCs w:val="12"/>
                <w:lang w:eastAsia="zh-CN"/>
              </w:rPr>
            </w:pPr>
            <w:r>
              <w:rPr>
                <w:rFonts w:ascii="Times New Roman" w:hAnsi="Times New Roman"/>
                <w:color w:val="auto"/>
                <w:spacing w:val="0"/>
                <w:kern w:val="2"/>
                <w:sz w:val="12"/>
                <w:szCs w:val="12"/>
                <w:lang w:eastAsia="zh-CN"/>
              </w:rPr>
              <w:t>200</w:t>
            </w:r>
          </w:p>
        </w:tc>
      </w:tr>
      <w:tr w:rsidR="00872005" w:rsidTr="00084EE9">
        <w:trPr>
          <w:trHeight w:val="90"/>
          <w:jc w:val="center"/>
        </w:trPr>
        <w:tc>
          <w:tcPr>
            <w:tcW w:w="1975" w:type="dxa"/>
            <w:vAlign w:val="center"/>
          </w:tcPr>
          <w:p w:rsidR="00EE7251" w:rsidRDefault="007270C2">
            <w:pPr>
              <w:pStyle w:val="BodyText3"/>
              <w:spacing w:beforeLines="10" w:before="24" w:afterLines="10" w:after="24" w:line="0" w:lineRule="atLeast"/>
              <w:ind w:right="0"/>
              <w:jc w:val="left"/>
              <w:rPr>
                <w:rFonts w:ascii="Times New Roman" w:hAnsi="Times New Roman"/>
                <w:color w:val="auto"/>
                <w:spacing w:val="0"/>
                <w:sz w:val="12"/>
                <w:szCs w:val="12"/>
                <w:lang w:eastAsia="zh-CN"/>
              </w:rPr>
            </w:pPr>
            <w:r>
              <w:rPr>
                <w:rFonts w:ascii="Times New Roman" w:hAnsi="Times New Roman"/>
                <w:color w:val="auto"/>
                <w:spacing w:val="0"/>
                <w:sz w:val="12"/>
                <w:szCs w:val="12"/>
              </w:rPr>
              <w:t xml:space="preserve">Klonazepam </w:t>
            </w:r>
            <w:r>
              <w:rPr>
                <w:rFonts w:ascii="Times New Roman" w:hAnsi="Times New Roman"/>
                <w:color w:val="auto"/>
                <w:spacing w:val="0"/>
                <w:sz w:val="12"/>
                <w:szCs w:val="12"/>
                <w:lang w:eastAsia="zh-CN"/>
              </w:rPr>
              <w:t>(CLO)</w:t>
            </w:r>
          </w:p>
        </w:tc>
        <w:tc>
          <w:tcPr>
            <w:tcW w:w="1930" w:type="dxa"/>
            <w:vAlign w:val="center"/>
          </w:tcPr>
          <w:p w:rsidR="00EE7251" w:rsidRDefault="007270C2">
            <w:pPr>
              <w:pStyle w:val="BodyText3"/>
              <w:spacing w:beforeLines="10" w:before="24" w:afterLines="10" w:after="24" w:line="0" w:lineRule="atLeast"/>
              <w:ind w:right="0"/>
              <w:jc w:val="left"/>
              <w:rPr>
                <w:rFonts w:ascii="Times New Roman" w:hAnsi="Times New Roman"/>
                <w:color w:val="auto"/>
                <w:spacing w:val="0"/>
                <w:sz w:val="12"/>
                <w:szCs w:val="12"/>
              </w:rPr>
            </w:pPr>
            <w:r>
              <w:rPr>
                <w:rFonts w:ascii="Times New Roman" w:hAnsi="Times New Roman"/>
                <w:color w:val="auto"/>
                <w:spacing w:val="0"/>
                <w:sz w:val="12"/>
                <w:szCs w:val="12"/>
              </w:rPr>
              <w:t>Klonazepam</w:t>
            </w:r>
          </w:p>
        </w:tc>
        <w:tc>
          <w:tcPr>
            <w:tcW w:w="915" w:type="dxa"/>
            <w:vAlign w:val="center"/>
          </w:tcPr>
          <w:p w:rsidR="00EE7251" w:rsidRDefault="007270C2">
            <w:pPr>
              <w:pStyle w:val="BodyText3"/>
              <w:spacing w:beforeLines="10" w:before="24" w:afterLines="10" w:after="24" w:line="0" w:lineRule="atLeast"/>
              <w:ind w:right="0"/>
              <w:jc w:val="center"/>
              <w:rPr>
                <w:rFonts w:ascii="Times New Roman" w:hAnsi="Times New Roman"/>
                <w:color w:val="auto"/>
                <w:spacing w:val="0"/>
                <w:sz w:val="12"/>
                <w:szCs w:val="12"/>
                <w:lang w:eastAsia="zh-CN"/>
              </w:rPr>
            </w:pPr>
            <w:r>
              <w:rPr>
                <w:rFonts w:ascii="Times New Roman" w:hAnsi="Times New Roman"/>
                <w:color w:val="auto"/>
                <w:spacing w:val="0"/>
                <w:sz w:val="12"/>
                <w:szCs w:val="12"/>
                <w:lang w:eastAsia="zh-CN"/>
              </w:rPr>
              <w:t>500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MDMA (extáze)</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D,L-3,4-methylendioxymetamfetamin (MDMA)</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500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MDMA (extáze)</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D,L-3,4-methylendioxymetamfetamin (MDMA)</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2 000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Ethylglukuronid (ETG)</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Ethylglukuronid</w:t>
            </w:r>
          </w:p>
        </w:tc>
        <w:tc>
          <w:tcPr>
            <w:tcW w:w="915" w:type="dxa"/>
            <w:vAlign w:val="center"/>
          </w:tcPr>
          <w:p w:rsidR="00EE7251" w:rsidRDefault="007270C2">
            <w:pPr>
              <w:pStyle w:val="BodyText3"/>
              <w:spacing w:beforeLines="10" w:before="24" w:afterLines="10" w:after="24" w:line="0" w:lineRule="atLeast"/>
              <w:ind w:right="0"/>
              <w:jc w:val="center"/>
              <w:rPr>
                <w:rFonts w:ascii="Times New Roman" w:hAnsi="Times New Roman"/>
                <w:color w:val="auto"/>
                <w:spacing w:val="0"/>
                <w:sz w:val="12"/>
                <w:szCs w:val="12"/>
                <w:lang w:eastAsia="zh-CN"/>
              </w:rPr>
            </w:pPr>
            <w:r>
              <w:rPr>
                <w:rFonts w:ascii="Times New Roman" w:hAnsi="Times New Roman"/>
                <w:color w:val="auto"/>
                <w:spacing w:val="0"/>
                <w:sz w:val="12"/>
                <w:szCs w:val="12"/>
                <w:lang w:eastAsia="zh-CN"/>
              </w:rPr>
              <w:t>300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Ethylglukuronid (ETG)</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Ethylglukuronid</w:t>
            </w:r>
          </w:p>
        </w:tc>
        <w:tc>
          <w:tcPr>
            <w:tcW w:w="915" w:type="dxa"/>
            <w:vAlign w:val="center"/>
          </w:tcPr>
          <w:p w:rsidR="00EE7251" w:rsidRDefault="007270C2">
            <w:pPr>
              <w:pStyle w:val="BodyText3"/>
              <w:spacing w:beforeLines="10" w:before="24" w:afterLines="10" w:after="24" w:line="0" w:lineRule="atLeast"/>
              <w:ind w:right="0"/>
              <w:jc w:val="center"/>
              <w:rPr>
                <w:rFonts w:ascii="Times New Roman" w:hAnsi="Times New Roman"/>
                <w:color w:val="auto"/>
                <w:spacing w:val="0"/>
                <w:sz w:val="12"/>
                <w:szCs w:val="12"/>
                <w:lang w:eastAsia="zh-CN"/>
              </w:rPr>
            </w:pPr>
            <w:r>
              <w:rPr>
                <w:rFonts w:ascii="Times New Roman" w:hAnsi="Times New Roman"/>
                <w:color w:val="auto"/>
                <w:spacing w:val="0"/>
                <w:sz w:val="12"/>
                <w:szCs w:val="12"/>
                <w:lang w:eastAsia="zh-CN"/>
              </w:rPr>
              <w:t>500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Fentanyl (FEN)</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Fentanyl</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300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Fentanyl (FEN)</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Fentanyl</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200</w:t>
            </w:r>
          </w:p>
        </w:tc>
      </w:tr>
      <w:tr w:rsidR="00872005" w:rsidTr="00084EE9">
        <w:trPr>
          <w:trHeight w:val="20"/>
          <w:jc w:val="center"/>
        </w:trPr>
        <w:tc>
          <w:tcPr>
            <w:tcW w:w="1975" w:type="dxa"/>
            <w:vAlign w:val="center"/>
          </w:tcPr>
          <w:p w:rsidR="00EE7251" w:rsidRDefault="007270C2">
            <w:pPr>
              <w:pStyle w:val="BodyText3"/>
              <w:spacing w:beforeLines="10" w:before="24" w:afterLines="10" w:after="24" w:line="0" w:lineRule="atLeast"/>
              <w:ind w:right="0"/>
              <w:jc w:val="left"/>
              <w:rPr>
                <w:rFonts w:ascii="Times New Roman" w:hAnsi="Times New Roman"/>
                <w:color w:val="auto"/>
                <w:spacing w:val="0"/>
                <w:kern w:val="2"/>
                <w:sz w:val="12"/>
                <w:szCs w:val="12"/>
                <w:lang w:eastAsia="zh-CN"/>
              </w:rPr>
            </w:pPr>
            <w:r>
              <w:rPr>
                <w:rFonts w:ascii="Times New Roman" w:hAnsi="Times New Roman"/>
                <w:color w:val="auto"/>
                <w:spacing w:val="0"/>
                <w:kern w:val="2"/>
                <w:sz w:val="12"/>
                <w:szCs w:val="12"/>
                <w:lang w:eastAsia="zh-CN"/>
              </w:rPr>
              <w:t>Fentanyl (FEN)</w:t>
            </w:r>
          </w:p>
        </w:tc>
        <w:tc>
          <w:tcPr>
            <w:tcW w:w="1930" w:type="dxa"/>
            <w:vAlign w:val="center"/>
          </w:tcPr>
          <w:p w:rsidR="00EE7251" w:rsidRDefault="007270C2">
            <w:pPr>
              <w:pStyle w:val="BodyText3"/>
              <w:spacing w:beforeLines="10" w:before="24" w:afterLines="10" w:after="24" w:line="0" w:lineRule="atLeast"/>
              <w:ind w:right="0"/>
              <w:jc w:val="left"/>
              <w:rPr>
                <w:rFonts w:ascii="Times New Roman" w:hAnsi="Times New Roman"/>
                <w:color w:val="auto"/>
                <w:spacing w:val="0"/>
                <w:kern w:val="2"/>
                <w:sz w:val="12"/>
                <w:szCs w:val="12"/>
                <w:lang w:eastAsia="zh-CN"/>
              </w:rPr>
            </w:pPr>
            <w:r>
              <w:rPr>
                <w:rFonts w:ascii="Times New Roman" w:hAnsi="Times New Roman"/>
                <w:color w:val="auto"/>
                <w:spacing w:val="0"/>
                <w:kern w:val="2"/>
                <w:sz w:val="12"/>
                <w:szCs w:val="12"/>
                <w:lang w:eastAsia="zh-CN"/>
              </w:rPr>
              <w:t>Norfentanyl</w:t>
            </w:r>
          </w:p>
        </w:tc>
        <w:tc>
          <w:tcPr>
            <w:tcW w:w="915" w:type="dxa"/>
            <w:vAlign w:val="center"/>
          </w:tcPr>
          <w:p w:rsidR="00EE7251" w:rsidRDefault="007270C2">
            <w:pPr>
              <w:pStyle w:val="BodyText3"/>
              <w:spacing w:beforeLines="10" w:before="24" w:afterLines="10" w:after="24" w:line="0" w:lineRule="atLeast"/>
              <w:ind w:right="0"/>
              <w:jc w:val="center"/>
              <w:rPr>
                <w:rFonts w:ascii="Times New Roman" w:hAnsi="Times New Roman"/>
                <w:color w:val="auto"/>
                <w:spacing w:val="0"/>
                <w:kern w:val="2"/>
                <w:sz w:val="12"/>
                <w:szCs w:val="12"/>
                <w:lang w:eastAsia="zh-CN"/>
              </w:rPr>
            </w:pPr>
            <w:r>
              <w:rPr>
                <w:rFonts w:ascii="Times New Roman" w:hAnsi="Times New Roman"/>
                <w:color w:val="auto"/>
                <w:spacing w:val="0"/>
                <w:kern w:val="2"/>
                <w:sz w:val="12"/>
                <w:szCs w:val="12"/>
                <w:lang w:eastAsia="zh-CN"/>
              </w:rPr>
              <w:t>20</w:t>
            </w:r>
          </w:p>
        </w:tc>
      </w:tr>
      <w:tr w:rsidR="00872005" w:rsidTr="00084EE9">
        <w:trPr>
          <w:trHeight w:val="20"/>
          <w:jc w:val="center"/>
        </w:trPr>
        <w:tc>
          <w:tcPr>
            <w:tcW w:w="1975" w:type="dxa"/>
            <w:vAlign w:val="center"/>
          </w:tcPr>
          <w:p w:rsidR="00EE7251" w:rsidRDefault="007270C2">
            <w:pPr>
              <w:pStyle w:val="BodyText3"/>
              <w:spacing w:beforeLines="10" w:before="24" w:afterLines="10" w:after="24" w:line="0" w:lineRule="atLeast"/>
              <w:ind w:right="0"/>
              <w:jc w:val="left"/>
              <w:rPr>
                <w:rFonts w:ascii="Times New Roman" w:hAnsi="Times New Roman"/>
                <w:color w:val="auto"/>
                <w:spacing w:val="0"/>
                <w:kern w:val="2"/>
                <w:sz w:val="12"/>
                <w:szCs w:val="12"/>
                <w:lang w:eastAsia="zh-CN"/>
              </w:rPr>
            </w:pPr>
            <w:r>
              <w:rPr>
                <w:rFonts w:ascii="Times New Roman" w:hAnsi="Times New Roman"/>
                <w:color w:val="auto"/>
                <w:spacing w:val="0"/>
                <w:kern w:val="2"/>
                <w:sz w:val="12"/>
                <w:szCs w:val="12"/>
                <w:lang w:eastAsia="zh-CN"/>
              </w:rPr>
              <w:t>Fentanyl (FEN)</w:t>
            </w:r>
          </w:p>
        </w:tc>
        <w:tc>
          <w:tcPr>
            <w:tcW w:w="1930" w:type="dxa"/>
            <w:vAlign w:val="center"/>
          </w:tcPr>
          <w:p w:rsidR="00EE7251" w:rsidRDefault="007270C2">
            <w:pPr>
              <w:pStyle w:val="BodyText3"/>
              <w:spacing w:beforeLines="10" w:before="24" w:afterLines="10" w:after="24" w:line="0" w:lineRule="atLeast"/>
              <w:ind w:right="0"/>
              <w:jc w:val="left"/>
              <w:rPr>
                <w:rFonts w:ascii="Times New Roman" w:hAnsi="Times New Roman"/>
                <w:color w:val="auto"/>
                <w:spacing w:val="0"/>
                <w:kern w:val="2"/>
                <w:sz w:val="12"/>
                <w:szCs w:val="12"/>
                <w:lang w:eastAsia="zh-CN"/>
              </w:rPr>
            </w:pPr>
            <w:r>
              <w:rPr>
                <w:rFonts w:ascii="Times New Roman" w:hAnsi="Times New Roman"/>
                <w:color w:val="auto"/>
                <w:spacing w:val="0"/>
                <w:kern w:val="2"/>
                <w:sz w:val="12"/>
                <w:szCs w:val="12"/>
                <w:lang w:eastAsia="zh-CN"/>
              </w:rPr>
              <w:t>Norfentanyl</w:t>
            </w:r>
          </w:p>
        </w:tc>
        <w:tc>
          <w:tcPr>
            <w:tcW w:w="915" w:type="dxa"/>
            <w:vAlign w:val="center"/>
          </w:tcPr>
          <w:p w:rsidR="00EE7251" w:rsidRDefault="007270C2">
            <w:pPr>
              <w:pStyle w:val="BodyText3"/>
              <w:spacing w:beforeLines="10" w:before="24" w:afterLines="10" w:after="24" w:line="0" w:lineRule="atLeast"/>
              <w:ind w:right="0"/>
              <w:jc w:val="center"/>
              <w:rPr>
                <w:rFonts w:ascii="Times New Roman" w:hAnsi="Times New Roman"/>
                <w:color w:val="auto"/>
                <w:spacing w:val="0"/>
                <w:kern w:val="2"/>
                <w:sz w:val="12"/>
                <w:szCs w:val="12"/>
                <w:lang w:eastAsia="zh-CN"/>
              </w:rPr>
            </w:pPr>
            <w:r>
              <w:rPr>
                <w:rFonts w:ascii="Times New Roman" w:hAnsi="Times New Roman"/>
                <w:color w:val="auto"/>
                <w:spacing w:val="0"/>
                <w:kern w:val="2"/>
                <w:sz w:val="12"/>
                <w:szCs w:val="12"/>
                <w:lang w:eastAsia="zh-CN"/>
              </w:rPr>
              <w:t>10</w:t>
            </w:r>
          </w:p>
        </w:tc>
      </w:tr>
      <w:tr w:rsidR="00872005" w:rsidTr="00084EE9">
        <w:trPr>
          <w:trHeight w:val="20"/>
          <w:jc w:val="center"/>
        </w:trPr>
        <w:tc>
          <w:tcPr>
            <w:tcW w:w="1975" w:type="dxa"/>
            <w:vAlign w:val="center"/>
          </w:tcPr>
          <w:p w:rsidR="00EE7251" w:rsidRDefault="007270C2">
            <w:pPr>
              <w:pStyle w:val="BodyText3"/>
              <w:spacing w:beforeLines="10" w:before="24" w:afterLines="10" w:after="24" w:line="0" w:lineRule="atLeast"/>
              <w:ind w:right="0"/>
              <w:rPr>
                <w:rFonts w:ascii="Times New Roman" w:hAnsi="Times New Roman"/>
                <w:color w:val="auto"/>
                <w:spacing w:val="0"/>
                <w:sz w:val="12"/>
                <w:szCs w:val="12"/>
              </w:rPr>
            </w:pPr>
            <w:r>
              <w:rPr>
                <w:rFonts w:ascii="Times New Roman" w:hAnsi="Times New Roman"/>
                <w:color w:val="auto"/>
                <w:spacing w:val="0"/>
                <w:sz w:val="12"/>
                <w:szCs w:val="12"/>
                <w:lang w:eastAsia="zh-CN"/>
              </w:rPr>
              <w:t xml:space="preserve">Gabapentin </w:t>
            </w:r>
            <w:r>
              <w:rPr>
                <w:rFonts w:ascii="Times New Roman" w:hAnsi="Times New Roman"/>
                <w:color w:val="auto"/>
                <w:spacing w:val="0"/>
                <w:sz w:val="12"/>
                <w:szCs w:val="12"/>
              </w:rPr>
              <w:t>(</w:t>
            </w:r>
            <w:r>
              <w:rPr>
                <w:rFonts w:ascii="Times New Roman" w:hAnsi="Times New Roman"/>
                <w:color w:val="auto"/>
                <w:spacing w:val="0"/>
                <w:sz w:val="12"/>
                <w:szCs w:val="12"/>
                <w:lang w:eastAsia="zh-CN"/>
              </w:rPr>
              <w:t>GAB</w:t>
            </w:r>
            <w:r>
              <w:rPr>
                <w:rFonts w:ascii="Times New Roman" w:hAnsi="Times New Roman"/>
                <w:color w:val="auto"/>
                <w:spacing w:val="0"/>
                <w:sz w:val="12"/>
                <w:szCs w:val="12"/>
              </w:rPr>
              <w:t>)</w:t>
            </w:r>
          </w:p>
        </w:tc>
        <w:tc>
          <w:tcPr>
            <w:tcW w:w="1930" w:type="dxa"/>
            <w:vAlign w:val="center"/>
          </w:tcPr>
          <w:p w:rsidR="00EE7251" w:rsidRDefault="007270C2">
            <w:pPr>
              <w:pStyle w:val="BodyText3"/>
              <w:spacing w:beforeLines="10" w:before="24" w:afterLines="10" w:after="24" w:line="0" w:lineRule="atLeast"/>
              <w:ind w:right="0"/>
              <w:rPr>
                <w:rFonts w:ascii="Times New Roman" w:hAnsi="Times New Roman"/>
                <w:color w:val="auto"/>
                <w:spacing w:val="0"/>
                <w:sz w:val="12"/>
                <w:szCs w:val="12"/>
              </w:rPr>
            </w:pPr>
            <w:r>
              <w:rPr>
                <w:rFonts w:ascii="Times New Roman" w:hAnsi="Times New Roman"/>
                <w:color w:val="auto"/>
                <w:spacing w:val="0"/>
                <w:sz w:val="12"/>
                <w:szCs w:val="12"/>
                <w:lang w:eastAsia="zh-CN"/>
              </w:rPr>
              <w:t>Gabapentin</w:t>
            </w:r>
          </w:p>
        </w:tc>
        <w:tc>
          <w:tcPr>
            <w:tcW w:w="915" w:type="dxa"/>
            <w:vAlign w:val="center"/>
          </w:tcPr>
          <w:p w:rsidR="00EE7251" w:rsidRDefault="007270C2">
            <w:pPr>
              <w:pStyle w:val="BodyText3"/>
              <w:spacing w:beforeLines="10" w:before="24" w:afterLines="10" w:after="24" w:line="0" w:lineRule="atLeast"/>
              <w:ind w:right="0"/>
              <w:jc w:val="center"/>
              <w:rPr>
                <w:rFonts w:ascii="Times New Roman" w:hAnsi="Times New Roman"/>
                <w:color w:val="auto"/>
                <w:spacing w:val="0"/>
                <w:kern w:val="2"/>
                <w:sz w:val="12"/>
                <w:szCs w:val="12"/>
                <w:lang w:eastAsia="zh-CN"/>
              </w:rPr>
            </w:pPr>
            <w:r>
              <w:rPr>
                <w:rFonts w:ascii="Times New Roman" w:hAnsi="Times New Roman"/>
                <w:color w:val="auto"/>
                <w:spacing w:val="0"/>
                <w:kern w:val="2"/>
                <w:sz w:val="12"/>
                <w:szCs w:val="12"/>
                <w:lang w:eastAsia="zh-CN"/>
              </w:rPr>
              <w:t>1 000</w:t>
            </w:r>
          </w:p>
        </w:tc>
      </w:tr>
      <w:tr w:rsidR="00872005" w:rsidTr="00084EE9">
        <w:trPr>
          <w:trHeight w:val="20"/>
          <w:jc w:val="center"/>
        </w:trPr>
        <w:tc>
          <w:tcPr>
            <w:tcW w:w="1975" w:type="dxa"/>
            <w:vAlign w:val="center"/>
          </w:tcPr>
          <w:p w:rsidR="00EE7251" w:rsidRDefault="007270C2">
            <w:pPr>
              <w:pStyle w:val="BodyText3"/>
              <w:spacing w:beforeLines="10" w:before="24" w:afterLines="10" w:after="24" w:line="0" w:lineRule="atLeast"/>
              <w:ind w:right="0"/>
              <w:jc w:val="left"/>
              <w:rPr>
                <w:rFonts w:ascii="Times New Roman" w:hAnsi="Times New Roman"/>
                <w:color w:val="auto"/>
                <w:spacing w:val="0"/>
                <w:kern w:val="2"/>
                <w:sz w:val="12"/>
                <w:szCs w:val="12"/>
                <w:lang w:eastAsia="zh-CN"/>
              </w:rPr>
            </w:pPr>
            <w:r>
              <w:rPr>
                <w:rFonts w:ascii="Times New Roman" w:hAnsi="Times New Roman"/>
                <w:color w:val="auto"/>
                <w:spacing w:val="0"/>
                <w:kern w:val="2"/>
                <w:sz w:val="12"/>
                <w:szCs w:val="12"/>
                <w:lang w:eastAsia="zh-CN"/>
              </w:rPr>
              <w:t>Hydrokodon (HCD)</w:t>
            </w:r>
          </w:p>
        </w:tc>
        <w:tc>
          <w:tcPr>
            <w:tcW w:w="1930" w:type="dxa"/>
            <w:vAlign w:val="center"/>
          </w:tcPr>
          <w:p w:rsidR="00EE7251" w:rsidRDefault="007270C2">
            <w:pPr>
              <w:pStyle w:val="BodyText3"/>
              <w:spacing w:beforeLines="10" w:before="24" w:afterLines="10" w:after="24" w:line="0" w:lineRule="atLeast"/>
              <w:ind w:right="0"/>
              <w:jc w:val="left"/>
              <w:rPr>
                <w:rFonts w:ascii="Times New Roman" w:hAnsi="Times New Roman"/>
                <w:color w:val="auto"/>
                <w:spacing w:val="0"/>
                <w:kern w:val="2"/>
                <w:sz w:val="12"/>
                <w:szCs w:val="12"/>
                <w:lang w:eastAsia="zh-CN"/>
              </w:rPr>
            </w:pPr>
            <w:r>
              <w:rPr>
                <w:rFonts w:ascii="Times New Roman" w:hAnsi="Times New Roman"/>
                <w:color w:val="auto"/>
                <w:spacing w:val="0"/>
                <w:kern w:val="2"/>
                <w:sz w:val="12"/>
                <w:szCs w:val="12"/>
                <w:lang w:eastAsia="zh-CN"/>
              </w:rPr>
              <w:t>Hydrokodon</w:t>
            </w:r>
          </w:p>
        </w:tc>
        <w:tc>
          <w:tcPr>
            <w:tcW w:w="915" w:type="dxa"/>
            <w:vAlign w:val="center"/>
          </w:tcPr>
          <w:p w:rsidR="00EE7251" w:rsidRDefault="00084EE9">
            <w:pPr>
              <w:pStyle w:val="BodyText3"/>
              <w:spacing w:beforeLines="10" w:before="24" w:afterLines="10" w:after="24" w:line="0" w:lineRule="atLeast"/>
              <w:ind w:right="0"/>
              <w:jc w:val="center"/>
              <w:rPr>
                <w:rFonts w:ascii="Times New Roman" w:hAnsi="Times New Roman"/>
                <w:color w:val="auto"/>
                <w:spacing w:val="0"/>
                <w:kern w:val="2"/>
                <w:sz w:val="12"/>
                <w:szCs w:val="12"/>
                <w:lang w:eastAsia="zh-CN"/>
              </w:rPr>
            </w:pPr>
            <w:r>
              <w:rPr>
                <w:rFonts w:ascii="Times New Roman" w:hAnsi="Times New Roman"/>
                <w:color w:val="auto"/>
                <w:spacing w:val="0"/>
                <w:kern w:val="2"/>
                <w:sz w:val="12"/>
                <w:szCs w:val="12"/>
                <w:lang w:eastAsia="zh-CN"/>
              </w:rPr>
              <w:t>10</w:t>
            </w:r>
          </w:p>
        </w:tc>
      </w:tr>
      <w:tr w:rsidR="00872005" w:rsidTr="00084EE9">
        <w:trPr>
          <w:trHeight w:val="20"/>
          <w:jc w:val="center"/>
        </w:trPr>
        <w:tc>
          <w:tcPr>
            <w:tcW w:w="1975" w:type="dxa"/>
            <w:vAlign w:val="center"/>
          </w:tcPr>
          <w:p w:rsidR="00EE7251" w:rsidRDefault="007270C2">
            <w:pPr>
              <w:pStyle w:val="BodyText3"/>
              <w:spacing w:beforeLines="10" w:before="24" w:afterLines="10" w:after="24" w:line="0" w:lineRule="atLeast"/>
              <w:ind w:right="0"/>
              <w:jc w:val="left"/>
              <w:rPr>
                <w:rFonts w:ascii="Times New Roman" w:hAnsi="Times New Roman"/>
                <w:color w:val="auto"/>
                <w:spacing w:val="0"/>
                <w:kern w:val="2"/>
                <w:sz w:val="12"/>
                <w:szCs w:val="12"/>
                <w:lang w:eastAsia="zh-CN"/>
              </w:rPr>
            </w:pPr>
            <w:r>
              <w:rPr>
                <w:rFonts w:ascii="Times New Roman" w:hAnsi="Times New Roman"/>
                <w:color w:val="auto"/>
                <w:spacing w:val="0"/>
                <w:sz w:val="12"/>
                <w:szCs w:val="12"/>
                <w:lang w:eastAsia="zh-CN"/>
              </w:rPr>
              <w:t xml:space="preserve">Hydromorfon </w:t>
            </w:r>
            <w:r>
              <w:rPr>
                <w:rFonts w:ascii="Times New Roman" w:hAnsi="Times New Roman"/>
                <w:color w:val="auto"/>
                <w:spacing w:val="0"/>
                <w:sz w:val="12"/>
                <w:szCs w:val="12"/>
              </w:rPr>
              <w:t>(</w:t>
            </w:r>
            <w:r>
              <w:rPr>
                <w:rFonts w:ascii="Times New Roman" w:hAnsi="Times New Roman"/>
                <w:color w:val="auto"/>
                <w:spacing w:val="0"/>
                <w:sz w:val="12"/>
                <w:szCs w:val="12"/>
                <w:lang w:eastAsia="zh-CN"/>
              </w:rPr>
              <w:t>HMO</w:t>
            </w:r>
            <w:r>
              <w:rPr>
                <w:rFonts w:ascii="Times New Roman" w:hAnsi="Times New Roman"/>
                <w:color w:val="auto"/>
                <w:spacing w:val="0"/>
                <w:sz w:val="12"/>
                <w:szCs w:val="12"/>
              </w:rPr>
              <w:t>)</w:t>
            </w:r>
          </w:p>
        </w:tc>
        <w:tc>
          <w:tcPr>
            <w:tcW w:w="1930" w:type="dxa"/>
            <w:vAlign w:val="center"/>
          </w:tcPr>
          <w:p w:rsidR="00EE7251" w:rsidRDefault="007270C2">
            <w:pPr>
              <w:pStyle w:val="BodyText3"/>
              <w:spacing w:beforeLines="10" w:before="24" w:afterLines="10" w:after="24" w:line="0" w:lineRule="atLeast"/>
              <w:ind w:right="0"/>
              <w:jc w:val="left"/>
              <w:rPr>
                <w:rFonts w:ascii="Times New Roman" w:hAnsi="Times New Roman"/>
                <w:color w:val="auto"/>
                <w:spacing w:val="0"/>
                <w:kern w:val="2"/>
                <w:sz w:val="12"/>
                <w:szCs w:val="12"/>
                <w:lang w:eastAsia="zh-CN"/>
              </w:rPr>
            </w:pPr>
            <w:r>
              <w:rPr>
                <w:rFonts w:ascii="Times New Roman" w:hAnsi="Times New Roman"/>
                <w:color w:val="auto"/>
                <w:spacing w:val="0"/>
                <w:sz w:val="12"/>
                <w:szCs w:val="12"/>
                <w:lang w:eastAsia="zh-CN"/>
              </w:rPr>
              <w:t>Hydromorfon</w:t>
            </w:r>
          </w:p>
        </w:tc>
        <w:tc>
          <w:tcPr>
            <w:tcW w:w="915" w:type="dxa"/>
            <w:vAlign w:val="center"/>
          </w:tcPr>
          <w:p w:rsidR="00EE7251" w:rsidRDefault="007270C2">
            <w:pPr>
              <w:pStyle w:val="BodyText3"/>
              <w:spacing w:beforeLines="10" w:before="24" w:afterLines="10" w:after="24" w:line="0" w:lineRule="atLeast"/>
              <w:ind w:right="0"/>
              <w:jc w:val="center"/>
              <w:rPr>
                <w:rFonts w:ascii="Times New Roman" w:hAnsi="Times New Roman"/>
                <w:color w:val="auto"/>
                <w:spacing w:val="0"/>
                <w:kern w:val="2"/>
                <w:sz w:val="12"/>
                <w:szCs w:val="12"/>
                <w:lang w:eastAsia="zh-CN"/>
              </w:rPr>
            </w:pPr>
            <w:r>
              <w:rPr>
                <w:rFonts w:ascii="Times New Roman" w:hAnsi="Times New Roman"/>
                <w:color w:val="auto"/>
                <w:spacing w:val="0"/>
                <w:kern w:val="2"/>
                <w:sz w:val="12"/>
                <w:szCs w:val="12"/>
                <w:lang w:eastAsia="zh-CN"/>
              </w:rPr>
              <w:t>300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K2 Syntetický kanabinoid</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JWH-073/JWH-018</w:t>
            </w:r>
          </w:p>
        </w:tc>
        <w:tc>
          <w:tcPr>
            <w:tcW w:w="915" w:type="dxa"/>
            <w:vAlign w:val="center"/>
          </w:tcPr>
          <w:p w:rsidR="00EE7251" w:rsidRDefault="007270C2">
            <w:pPr>
              <w:pStyle w:val="BodyText3"/>
              <w:spacing w:beforeLines="10" w:before="24" w:afterLines="10" w:after="24" w:line="0" w:lineRule="atLeast"/>
              <w:ind w:right="0"/>
              <w:jc w:val="center"/>
              <w:rPr>
                <w:rFonts w:ascii="Times New Roman" w:hAnsi="Times New Roman"/>
                <w:color w:val="auto"/>
                <w:spacing w:val="0"/>
                <w:sz w:val="12"/>
                <w:szCs w:val="12"/>
              </w:rPr>
            </w:pPr>
            <w:r>
              <w:rPr>
                <w:rFonts w:ascii="Times New Roman" w:hAnsi="Times New Roman"/>
                <w:color w:val="auto"/>
                <w:spacing w:val="0"/>
                <w:sz w:val="12"/>
                <w:szCs w:val="12"/>
              </w:rPr>
              <w:t>50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Syntetický kanabinoid K2</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JWH-073/JWH-018</w:t>
            </w:r>
          </w:p>
        </w:tc>
        <w:tc>
          <w:tcPr>
            <w:tcW w:w="915" w:type="dxa"/>
            <w:vAlign w:val="center"/>
          </w:tcPr>
          <w:p w:rsidR="00EE7251" w:rsidRDefault="007270C2">
            <w:pPr>
              <w:pStyle w:val="BodyText3"/>
              <w:spacing w:beforeLines="10" w:before="24" w:afterLines="10" w:after="24" w:line="0" w:lineRule="atLeast"/>
              <w:ind w:right="0"/>
              <w:jc w:val="center"/>
              <w:rPr>
                <w:rFonts w:ascii="Times New Roman" w:hAnsi="Times New Roman"/>
                <w:color w:val="auto"/>
                <w:spacing w:val="0"/>
                <w:sz w:val="12"/>
                <w:szCs w:val="12"/>
                <w:lang w:eastAsia="zh-CN"/>
              </w:rPr>
            </w:pPr>
            <w:r>
              <w:rPr>
                <w:rFonts w:ascii="Times New Roman" w:hAnsi="Times New Roman"/>
                <w:color w:val="auto"/>
                <w:spacing w:val="0"/>
                <w:sz w:val="12"/>
                <w:szCs w:val="12"/>
                <w:lang w:eastAsia="zh-CN"/>
              </w:rPr>
              <w:t>25</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K3 (AB-Pinaca)</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AB-Pinaca</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10</w:t>
            </w:r>
          </w:p>
        </w:tc>
      </w:tr>
      <w:tr w:rsidR="00872005" w:rsidTr="00084EE9">
        <w:trPr>
          <w:trHeight w:val="20"/>
          <w:jc w:val="center"/>
        </w:trPr>
        <w:tc>
          <w:tcPr>
            <w:tcW w:w="1975" w:type="dxa"/>
            <w:vAlign w:val="center"/>
          </w:tcPr>
          <w:p w:rsidR="00EE7251" w:rsidRDefault="007270C2">
            <w:pPr>
              <w:spacing w:beforeLines="10" w:before="24" w:afterLines="10" w:after="24" w:line="0" w:lineRule="atLeast"/>
              <w:rPr>
                <w:rFonts w:ascii="Times New Roman" w:hAnsi="Times New Roman"/>
                <w:sz w:val="12"/>
                <w:szCs w:val="12"/>
              </w:rPr>
            </w:pPr>
            <w:r>
              <w:rPr>
                <w:rFonts w:ascii="Times New Roman" w:hAnsi="Times New Roman"/>
                <w:sz w:val="12"/>
                <w:szCs w:val="12"/>
              </w:rPr>
              <w:t>Ketamin (KET)</w:t>
            </w:r>
          </w:p>
        </w:tc>
        <w:tc>
          <w:tcPr>
            <w:tcW w:w="1930" w:type="dxa"/>
            <w:vAlign w:val="center"/>
          </w:tcPr>
          <w:p w:rsidR="00EE7251" w:rsidRDefault="007270C2">
            <w:pPr>
              <w:spacing w:beforeLines="10" w:before="24" w:afterLines="10" w:after="24" w:line="0" w:lineRule="atLeast"/>
              <w:rPr>
                <w:rFonts w:ascii="Times New Roman" w:hAnsi="Times New Roman"/>
                <w:sz w:val="12"/>
                <w:szCs w:val="12"/>
              </w:rPr>
            </w:pPr>
            <w:r>
              <w:rPr>
                <w:rFonts w:ascii="Times New Roman" w:hAnsi="Times New Roman"/>
                <w:sz w:val="12"/>
                <w:szCs w:val="12"/>
              </w:rPr>
              <w:t>Ketamin</w:t>
            </w:r>
          </w:p>
        </w:tc>
        <w:tc>
          <w:tcPr>
            <w:tcW w:w="915" w:type="dxa"/>
            <w:vAlign w:val="center"/>
          </w:tcPr>
          <w:p w:rsidR="00EE7251" w:rsidRDefault="007270C2">
            <w:pPr>
              <w:spacing w:beforeLines="10" w:before="24" w:afterLines="10" w:after="24" w:line="0" w:lineRule="atLeast"/>
              <w:jc w:val="center"/>
              <w:rPr>
                <w:rFonts w:ascii="Times New Roman" w:hAnsi="Times New Roman"/>
                <w:sz w:val="12"/>
                <w:szCs w:val="12"/>
              </w:rPr>
            </w:pPr>
            <w:r>
              <w:rPr>
                <w:rFonts w:ascii="Times New Roman" w:hAnsi="Times New Roman"/>
                <w:sz w:val="12"/>
                <w:szCs w:val="12"/>
              </w:rPr>
              <w:t>1 000</w:t>
            </w:r>
          </w:p>
        </w:tc>
      </w:tr>
      <w:tr w:rsidR="00872005" w:rsidTr="00084EE9">
        <w:trPr>
          <w:trHeight w:val="20"/>
          <w:jc w:val="center"/>
        </w:trPr>
        <w:tc>
          <w:tcPr>
            <w:tcW w:w="1975" w:type="dxa"/>
            <w:vAlign w:val="center"/>
          </w:tcPr>
          <w:p w:rsidR="00EE7251" w:rsidRDefault="007270C2">
            <w:pPr>
              <w:spacing w:beforeLines="10" w:before="24" w:afterLines="10" w:after="24" w:line="0" w:lineRule="atLeast"/>
              <w:rPr>
                <w:rFonts w:ascii="Times New Roman" w:hAnsi="Times New Roman"/>
                <w:sz w:val="12"/>
                <w:szCs w:val="12"/>
              </w:rPr>
            </w:pPr>
            <w:r>
              <w:rPr>
                <w:rFonts w:ascii="Times New Roman" w:hAnsi="Times New Roman"/>
                <w:sz w:val="12"/>
                <w:szCs w:val="12"/>
              </w:rPr>
              <w:t>Ketamin (KET)</w:t>
            </w:r>
          </w:p>
        </w:tc>
        <w:tc>
          <w:tcPr>
            <w:tcW w:w="1930" w:type="dxa"/>
            <w:vAlign w:val="center"/>
          </w:tcPr>
          <w:p w:rsidR="00EE7251" w:rsidRDefault="007270C2">
            <w:pPr>
              <w:spacing w:beforeLines="10" w:before="24" w:afterLines="10" w:after="24" w:line="0" w:lineRule="atLeast"/>
              <w:rPr>
                <w:rFonts w:ascii="Times New Roman" w:hAnsi="Times New Roman"/>
                <w:sz w:val="12"/>
                <w:szCs w:val="12"/>
              </w:rPr>
            </w:pPr>
            <w:r>
              <w:rPr>
                <w:rFonts w:ascii="Times New Roman" w:hAnsi="Times New Roman"/>
                <w:sz w:val="12"/>
                <w:szCs w:val="12"/>
              </w:rPr>
              <w:t>Ketamin</w:t>
            </w:r>
          </w:p>
        </w:tc>
        <w:tc>
          <w:tcPr>
            <w:tcW w:w="915" w:type="dxa"/>
            <w:vAlign w:val="center"/>
          </w:tcPr>
          <w:p w:rsidR="00EE7251" w:rsidRDefault="007270C2">
            <w:pPr>
              <w:spacing w:beforeLines="10" w:before="24" w:afterLines="10" w:after="24" w:line="0" w:lineRule="atLeast"/>
              <w:jc w:val="center"/>
              <w:rPr>
                <w:rFonts w:ascii="Times New Roman" w:hAnsi="Times New Roman"/>
                <w:sz w:val="12"/>
                <w:szCs w:val="12"/>
              </w:rPr>
            </w:pPr>
            <w:r>
              <w:rPr>
                <w:rFonts w:ascii="Times New Roman" w:hAnsi="Times New Roman"/>
                <w:sz w:val="12"/>
                <w:szCs w:val="12"/>
              </w:rPr>
              <w:t>100</w:t>
            </w:r>
          </w:p>
        </w:tc>
      </w:tr>
      <w:tr w:rsidR="00872005" w:rsidTr="00084EE9">
        <w:trPr>
          <w:trHeight w:val="20"/>
          <w:jc w:val="center"/>
        </w:trPr>
        <w:tc>
          <w:tcPr>
            <w:tcW w:w="1975" w:type="dxa"/>
            <w:vAlign w:val="center"/>
          </w:tcPr>
          <w:p w:rsidR="00EE7251" w:rsidRDefault="007270C2">
            <w:pPr>
              <w:spacing w:beforeLines="10" w:before="24" w:afterLines="10" w:after="24" w:line="0" w:lineRule="atLeast"/>
              <w:jc w:val="left"/>
              <w:rPr>
                <w:rFonts w:ascii="Times New Roman" w:hAnsi="Times New Roman"/>
                <w:sz w:val="12"/>
                <w:szCs w:val="12"/>
              </w:rPr>
            </w:pPr>
            <w:r>
              <w:rPr>
                <w:rFonts w:ascii="Times New Roman" w:hAnsi="Times New Roman"/>
                <w:sz w:val="12"/>
                <w:szCs w:val="12"/>
              </w:rPr>
              <w:t>Kratom (KRA)</w:t>
            </w:r>
          </w:p>
        </w:tc>
        <w:tc>
          <w:tcPr>
            <w:tcW w:w="1930" w:type="dxa"/>
            <w:vAlign w:val="center"/>
          </w:tcPr>
          <w:p w:rsidR="00EE7251" w:rsidRDefault="007270C2">
            <w:pPr>
              <w:spacing w:beforeLines="10" w:before="24" w:afterLines="10" w:after="24" w:line="0" w:lineRule="atLeast"/>
              <w:jc w:val="left"/>
              <w:rPr>
                <w:rFonts w:ascii="Times New Roman" w:hAnsi="Times New Roman"/>
                <w:sz w:val="12"/>
                <w:szCs w:val="12"/>
              </w:rPr>
            </w:pPr>
            <w:r>
              <w:rPr>
                <w:rFonts w:ascii="Times New Roman" w:hAnsi="Times New Roman"/>
                <w:sz w:val="12"/>
                <w:szCs w:val="12"/>
              </w:rPr>
              <w:t>Mitragynin</w:t>
            </w:r>
          </w:p>
        </w:tc>
        <w:tc>
          <w:tcPr>
            <w:tcW w:w="915" w:type="dxa"/>
            <w:vAlign w:val="center"/>
          </w:tcPr>
          <w:p w:rsidR="00EE7251" w:rsidRDefault="007270C2">
            <w:pPr>
              <w:spacing w:beforeLines="10" w:before="24" w:afterLines="10" w:after="24" w:line="0" w:lineRule="atLeast"/>
              <w:jc w:val="center"/>
              <w:rPr>
                <w:rFonts w:ascii="Times New Roman" w:hAnsi="Times New Roman"/>
                <w:sz w:val="12"/>
                <w:szCs w:val="12"/>
              </w:rPr>
            </w:pPr>
            <w:r>
              <w:rPr>
                <w:rFonts w:ascii="Times New Roman" w:hAnsi="Times New Roman"/>
                <w:sz w:val="12"/>
                <w:szCs w:val="12"/>
              </w:rPr>
              <w:t>250</w:t>
            </w:r>
          </w:p>
        </w:tc>
      </w:tr>
      <w:tr w:rsidR="00872005" w:rsidTr="00084EE9">
        <w:trPr>
          <w:trHeight w:val="20"/>
          <w:jc w:val="center"/>
        </w:trPr>
        <w:tc>
          <w:tcPr>
            <w:tcW w:w="1975" w:type="dxa"/>
            <w:vAlign w:val="center"/>
          </w:tcPr>
          <w:p w:rsidR="00EE7251" w:rsidRDefault="007270C2">
            <w:pPr>
              <w:spacing w:beforeLines="10" w:before="24" w:afterLines="10" w:after="24" w:line="0" w:lineRule="atLeast"/>
              <w:rPr>
                <w:rFonts w:ascii="Times New Roman" w:hAnsi="Times New Roman"/>
                <w:sz w:val="12"/>
                <w:szCs w:val="12"/>
              </w:rPr>
            </w:pPr>
            <w:r>
              <w:rPr>
                <w:rFonts w:ascii="Times New Roman" w:hAnsi="Times New Roman"/>
                <w:sz w:val="12"/>
                <w:szCs w:val="12"/>
              </w:rPr>
              <w:t>Diethylamid kyseliny lysergové (LSD)</w:t>
            </w:r>
          </w:p>
        </w:tc>
        <w:tc>
          <w:tcPr>
            <w:tcW w:w="1930" w:type="dxa"/>
            <w:vAlign w:val="center"/>
          </w:tcPr>
          <w:p w:rsidR="00EE7251" w:rsidRDefault="007270C2">
            <w:pPr>
              <w:spacing w:beforeLines="10" w:before="24" w:afterLines="10" w:after="24" w:line="0" w:lineRule="atLeast"/>
              <w:jc w:val="left"/>
              <w:rPr>
                <w:rFonts w:ascii="Times New Roman" w:hAnsi="Times New Roman"/>
                <w:sz w:val="12"/>
                <w:szCs w:val="12"/>
              </w:rPr>
            </w:pPr>
            <w:r>
              <w:rPr>
                <w:rFonts w:ascii="Times New Roman" w:hAnsi="Times New Roman"/>
                <w:sz w:val="12"/>
                <w:szCs w:val="12"/>
              </w:rPr>
              <w:t>D-diethylamid kyseliny lysergové</w:t>
            </w:r>
          </w:p>
        </w:tc>
        <w:tc>
          <w:tcPr>
            <w:tcW w:w="915" w:type="dxa"/>
            <w:vAlign w:val="center"/>
          </w:tcPr>
          <w:p w:rsidR="00EE7251" w:rsidRDefault="007270C2">
            <w:pPr>
              <w:spacing w:beforeLines="10" w:before="24" w:afterLines="10" w:after="24" w:line="0" w:lineRule="atLeast"/>
              <w:jc w:val="center"/>
              <w:rPr>
                <w:rFonts w:ascii="Times New Roman" w:hAnsi="Times New Roman"/>
                <w:sz w:val="12"/>
                <w:szCs w:val="12"/>
              </w:rPr>
            </w:pPr>
            <w:r>
              <w:rPr>
                <w:rFonts w:ascii="Times New Roman" w:hAnsi="Times New Roman"/>
                <w:sz w:val="12"/>
                <w:szCs w:val="12"/>
              </w:rPr>
              <w:t>20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Marihuana (THC)</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11-nor-Δ</w:t>
            </w:r>
            <w:r>
              <w:rPr>
                <w:rFonts w:ascii="Times New Roman" w:hAnsi="Times New Roman"/>
                <w:sz w:val="12"/>
                <w:szCs w:val="12"/>
                <w:vertAlign w:val="superscript"/>
              </w:rPr>
              <w:t>9</w:t>
            </w:r>
            <w:r>
              <w:rPr>
                <w:rFonts w:ascii="Times New Roman" w:hAnsi="Times New Roman"/>
                <w:sz w:val="12"/>
                <w:szCs w:val="12"/>
              </w:rPr>
              <w:t xml:space="preserve"> -THC-9 COOH</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50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Marihuana (THC)</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11-nor-Δ</w:t>
            </w:r>
            <w:r>
              <w:rPr>
                <w:rFonts w:ascii="Times New Roman" w:hAnsi="Times New Roman"/>
                <w:sz w:val="12"/>
                <w:szCs w:val="12"/>
                <w:vertAlign w:val="superscript"/>
              </w:rPr>
              <w:t>9</w:t>
            </w:r>
            <w:r>
              <w:rPr>
                <w:rFonts w:ascii="Times New Roman" w:hAnsi="Times New Roman"/>
                <w:sz w:val="12"/>
                <w:szCs w:val="12"/>
              </w:rPr>
              <w:t xml:space="preserve"> -THC-9 COOH</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25</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EDDP (metabolity metadonu)</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2-ethyliden-1,5-dimethyl-3,3-difenylpyrrolidin (EDDP)</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300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EDDP (metabolity metadonu)</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2-ethyliden-1,5-dimethyl-3,3-difenylpyrrolidin (EDDP)</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100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Metadon (MTD)</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Metadon</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300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Metadon (MTD)</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Metadon</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200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Metamfetamin (MET)</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D-metamfetamin</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1 000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Metamfetamin (MET)</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D-metamfetamin</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500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Metamfetamin (MET)</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D-metamfetamin</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300</w:t>
            </w:r>
          </w:p>
        </w:tc>
      </w:tr>
      <w:tr w:rsidR="00872005" w:rsidTr="00084EE9">
        <w:trPr>
          <w:trHeight w:val="20"/>
          <w:jc w:val="center"/>
        </w:trPr>
        <w:tc>
          <w:tcPr>
            <w:tcW w:w="1975" w:type="dxa"/>
            <w:vAlign w:val="center"/>
          </w:tcPr>
          <w:p w:rsidR="00EE7251" w:rsidRDefault="007270C2">
            <w:pPr>
              <w:pStyle w:val="BodyText3"/>
              <w:spacing w:beforeLines="10" w:before="24" w:afterLines="10" w:after="24" w:line="0" w:lineRule="atLeast"/>
              <w:ind w:right="0"/>
              <w:jc w:val="left"/>
              <w:rPr>
                <w:rFonts w:ascii="Times New Roman" w:hAnsi="Times New Roman"/>
                <w:color w:val="auto"/>
                <w:spacing w:val="0"/>
                <w:sz w:val="12"/>
                <w:szCs w:val="12"/>
              </w:rPr>
            </w:pPr>
            <w:r>
              <w:rPr>
                <w:rFonts w:ascii="Times New Roman" w:hAnsi="Times New Roman"/>
                <w:color w:val="auto"/>
                <w:spacing w:val="0"/>
                <w:sz w:val="12"/>
                <w:szCs w:val="12"/>
              </w:rPr>
              <w:t xml:space="preserve">Metakvalon (MQL) </w:t>
            </w:r>
          </w:p>
        </w:tc>
        <w:tc>
          <w:tcPr>
            <w:tcW w:w="1930" w:type="dxa"/>
            <w:vAlign w:val="center"/>
          </w:tcPr>
          <w:p w:rsidR="00EE7251" w:rsidRDefault="007270C2">
            <w:pPr>
              <w:pStyle w:val="BodyText3"/>
              <w:spacing w:beforeLines="10" w:before="24" w:afterLines="10" w:after="24" w:line="0" w:lineRule="atLeast"/>
              <w:ind w:right="0"/>
              <w:jc w:val="left"/>
              <w:rPr>
                <w:rFonts w:ascii="Times New Roman" w:hAnsi="Times New Roman"/>
                <w:color w:val="auto"/>
                <w:spacing w:val="0"/>
                <w:sz w:val="12"/>
                <w:szCs w:val="12"/>
              </w:rPr>
            </w:pPr>
            <w:r>
              <w:rPr>
                <w:rFonts w:ascii="Times New Roman" w:hAnsi="Times New Roman"/>
                <w:color w:val="auto"/>
                <w:spacing w:val="0"/>
                <w:sz w:val="12"/>
                <w:szCs w:val="12"/>
              </w:rPr>
              <w:t>Metakvalon</w:t>
            </w:r>
          </w:p>
        </w:tc>
        <w:tc>
          <w:tcPr>
            <w:tcW w:w="915" w:type="dxa"/>
            <w:vAlign w:val="center"/>
          </w:tcPr>
          <w:p w:rsidR="00EE7251" w:rsidRDefault="007270C2">
            <w:pPr>
              <w:pStyle w:val="BodyText3"/>
              <w:spacing w:beforeLines="10" w:before="24" w:afterLines="10" w:after="24" w:line="0" w:lineRule="atLeast"/>
              <w:ind w:right="0"/>
              <w:jc w:val="center"/>
              <w:rPr>
                <w:rFonts w:ascii="Times New Roman" w:hAnsi="Times New Roman"/>
                <w:color w:val="auto"/>
                <w:spacing w:val="0"/>
                <w:sz w:val="12"/>
                <w:szCs w:val="12"/>
                <w:lang w:eastAsia="zh-CN"/>
              </w:rPr>
            </w:pPr>
            <w:r>
              <w:rPr>
                <w:rFonts w:ascii="Times New Roman" w:hAnsi="Times New Roman"/>
                <w:color w:val="auto"/>
                <w:spacing w:val="0"/>
                <w:sz w:val="12"/>
                <w:szCs w:val="12"/>
              </w:rPr>
              <w:t>300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Metkatinon (MTC)</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bookmarkStart w:id="3" w:name="OLE_LINK4"/>
            <w:r>
              <w:rPr>
                <w:rFonts w:ascii="Times New Roman" w:hAnsi="Times New Roman"/>
                <w:sz w:val="12"/>
                <w:szCs w:val="12"/>
              </w:rPr>
              <w:t>Metkatinon</w:t>
            </w:r>
            <w:bookmarkEnd w:id="3"/>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300</w:t>
            </w:r>
          </w:p>
        </w:tc>
      </w:tr>
      <w:tr w:rsidR="00872005" w:rsidTr="00084EE9">
        <w:trPr>
          <w:trHeight w:val="20"/>
          <w:jc w:val="center"/>
        </w:trPr>
        <w:tc>
          <w:tcPr>
            <w:tcW w:w="1975" w:type="dxa"/>
            <w:vAlign w:val="center"/>
          </w:tcPr>
          <w:p w:rsidR="00EE7251" w:rsidRDefault="007270C2">
            <w:pPr>
              <w:spacing w:beforeLines="10" w:before="24" w:afterLines="10" w:after="24" w:line="0" w:lineRule="atLeast"/>
              <w:jc w:val="left"/>
              <w:rPr>
                <w:rFonts w:ascii="Times New Roman" w:hAnsi="Times New Roman"/>
                <w:sz w:val="12"/>
                <w:szCs w:val="12"/>
              </w:rPr>
            </w:pPr>
            <w:r>
              <w:rPr>
                <w:rFonts w:ascii="Times New Roman" w:hAnsi="Times New Roman"/>
                <w:sz w:val="12"/>
                <w:szCs w:val="12"/>
              </w:rPr>
              <w:t>Methylendioxypyrovaleron (MDPV)</w:t>
            </w:r>
          </w:p>
        </w:tc>
        <w:tc>
          <w:tcPr>
            <w:tcW w:w="1930" w:type="dxa"/>
            <w:vAlign w:val="center"/>
          </w:tcPr>
          <w:p w:rsidR="00EE7251" w:rsidRDefault="007270C2">
            <w:pPr>
              <w:spacing w:beforeLines="10" w:before="24" w:afterLines="10" w:after="24" w:line="0" w:lineRule="atLeast"/>
              <w:jc w:val="left"/>
              <w:rPr>
                <w:rFonts w:ascii="Times New Roman" w:hAnsi="Times New Roman"/>
                <w:sz w:val="12"/>
                <w:szCs w:val="12"/>
              </w:rPr>
            </w:pPr>
            <w:r>
              <w:rPr>
                <w:rFonts w:ascii="Times New Roman" w:hAnsi="Times New Roman"/>
                <w:sz w:val="12"/>
                <w:szCs w:val="12"/>
              </w:rPr>
              <w:t>3,4-Methylendioxypyrovaleron</w:t>
            </w:r>
          </w:p>
        </w:tc>
        <w:tc>
          <w:tcPr>
            <w:tcW w:w="915" w:type="dxa"/>
            <w:vAlign w:val="center"/>
          </w:tcPr>
          <w:p w:rsidR="00EE7251" w:rsidRDefault="007270C2">
            <w:pPr>
              <w:spacing w:beforeLines="10" w:before="24" w:afterLines="10" w:after="24" w:line="0" w:lineRule="atLeast"/>
              <w:jc w:val="center"/>
              <w:rPr>
                <w:rFonts w:ascii="Times New Roman" w:hAnsi="Times New Roman"/>
                <w:sz w:val="12"/>
                <w:szCs w:val="12"/>
              </w:rPr>
            </w:pPr>
            <w:r>
              <w:rPr>
                <w:rFonts w:ascii="Times New Roman" w:hAnsi="Times New Roman"/>
                <w:sz w:val="12"/>
                <w:szCs w:val="12"/>
              </w:rPr>
              <w:t>1 000</w:t>
            </w:r>
          </w:p>
        </w:tc>
      </w:tr>
      <w:tr w:rsidR="00872005" w:rsidTr="00084EE9">
        <w:trPr>
          <w:trHeight w:val="20"/>
          <w:jc w:val="center"/>
        </w:trPr>
        <w:tc>
          <w:tcPr>
            <w:tcW w:w="1975" w:type="dxa"/>
            <w:vAlign w:val="center"/>
          </w:tcPr>
          <w:p w:rsidR="00EE7251" w:rsidRDefault="007270C2">
            <w:pPr>
              <w:spacing w:beforeLines="10" w:before="24" w:afterLines="10" w:after="24" w:line="0" w:lineRule="atLeast"/>
              <w:jc w:val="left"/>
              <w:rPr>
                <w:rFonts w:ascii="Times New Roman" w:hAnsi="Times New Roman"/>
                <w:sz w:val="12"/>
                <w:szCs w:val="12"/>
              </w:rPr>
            </w:pPr>
            <w:r>
              <w:rPr>
                <w:rFonts w:ascii="Times New Roman" w:hAnsi="Times New Roman"/>
                <w:sz w:val="12"/>
                <w:szCs w:val="12"/>
              </w:rPr>
              <w:t>Methylfenidát (MPD)</w:t>
            </w:r>
          </w:p>
        </w:tc>
        <w:tc>
          <w:tcPr>
            <w:tcW w:w="1930" w:type="dxa"/>
            <w:vAlign w:val="center"/>
          </w:tcPr>
          <w:p w:rsidR="00EE7251" w:rsidRDefault="007270C2">
            <w:pPr>
              <w:spacing w:beforeLines="10" w:before="24" w:afterLines="10" w:after="24" w:line="0" w:lineRule="atLeast"/>
              <w:jc w:val="left"/>
              <w:rPr>
                <w:rFonts w:ascii="Times New Roman" w:hAnsi="Times New Roman"/>
                <w:sz w:val="12"/>
                <w:szCs w:val="12"/>
              </w:rPr>
            </w:pPr>
            <w:r>
              <w:rPr>
                <w:rFonts w:ascii="Times New Roman" w:hAnsi="Times New Roman"/>
                <w:sz w:val="12"/>
                <w:szCs w:val="12"/>
              </w:rPr>
              <w:t>Methylfenidát</w:t>
            </w:r>
          </w:p>
        </w:tc>
        <w:tc>
          <w:tcPr>
            <w:tcW w:w="915" w:type="dxa"/>
            <w:vAlign w:val="center"/>
          </w:tcPr>
          <w:p w:rsidR="00EE7251" w:rsidRDefault="007270C2">
            <w:pPr>
              <w:spacing w:beforeLines="10" w:before="24" w:afterLines="10" w:after="24" w:line="0" w:lineRule="atLeast"/>
              <w:jc w:val="center"/>
              <w:rPr>
                <w:rFonts w:ascii="Times New Roman" w:hAnsi="Times New Roman"/>
                <w:sz w:val="12"/>
                <w:szCs w:val="12"/>
              </w:rPr>
            </w:pPr>
            <w:r>
              <w:rPr>
                <w:rFonts w:ascii="Times New Roman" w:hAnsi="Times New Roman"/>
                <w:sz w:val="12"/>
                <w:szCs w:val="12"/>
              </w:rPr>
              <w:t>300</w:t>
            </w:r>
          </w:p>
        </w:tc>
      </w:tr>
      <w:tr w:rsidR="00872005" w:rsidTr="00084EE9">
        <w:trPr>
          <w:trHeight w:val="20"/>
          <w:jc w:val="center"/>
        </w:trPr>
        <w:tc>
          <w:tcPr>
            <w:tcW w:w="1975" w:type="dxa"/>
            <w:vAlign w:val="center"/>
          </w:tcPr>
          <w:p w:rsidR="00EE7251" w:rsidRDefault="007270C2">
            <w:pPr>
              <w:pStyle w:val="BodyText3"/>
              <w:spacing w:beforeLines="10" w:before="24" w:afterLines="10" w:after="24" w:line="0" w:lineRule="atLeast"/>
              <w:ind w:right="0"/>
              <w:rPr>
                <w:rFonts w:ascii="Times New Roman" w:hAnsi="Times New Roman"/>
                <w:b/>
                <w:color w:val="auto"/>
                <w:spacing w:val="0"/>
                <w:sz w:val="12"/>
                <w:szCs w:val="12"/>
              </w:rPr>
            </w:pPr>
            <w:r>
              <w:rPr>
                <w:rFonts w:ascii="Times New Roman" w:hAnsi="Times New Roman"/>
                <w:color w:val="auto"/>
                <w:spacing w:val="0"/>
                <w:sz w:val="12"/>
                <w:szCs w:val="12"/>
              </w:rPr>
              <w:t>6-monoacetylmorfin (6-MAM)</w:t>
            </w:r>
          </w:p>
        </w:tc>
        <w:tc>
          <w:tcPr>
            <w:tcW w:w="1930" w:type="dxa"/>
            <w:vAlign w:val="center"/>
          </w:tcPr>
          <w:p w:rsidR="00EE7251" w:rsidRDefault="007270C2">
            <w:pPr>
              <w:pStyle w:val="BodyText3"/>
              <w:spacing w:beforeLines="10" w:before="24" w:afterLines="10" w:after="24" w:line="0" w:lineRule="atLeast"/>
              <w:ind w:right="0"/>
              <w:rPr>
                <w:rFonts w:ascii="Times New Roman" w:hAnsi="Times New Roman"/>
                <w:b/>
                <w:color w:val="auto"/>
                <w:spacing w:val="0"/>
                <w:sz w:val="12"/>
                <w:szCs w:val="12"/>
              </w:rPr>
            </w:pPr>
            <w:r>
              <w:rPr>
                <w:rFonts w:ascii="Times New Roman" w:hAnsi="Times New Roman"/>
                <w:color w:val="auto"/>
                <w:spacing w:val="0"/>
                <w:sz w:val="12"/>
                <w:szCs w:val="12"/>
              </w:rPr>
              <w:t>6-monoacetylmorfin</w:t>
            </w:r>
          </w:p>
        </w:tc>
        <w:tc>
          <w:tcPr>
            <w:tcW w:w="915" w:type="dxa"/>
            <w:vAlign w:val="center"/>
          </w:tcPr>
          <w:p w:rsidR="00EE7251" w:rsidRDefault="007270C2">
            <w:pPr>
              <w:pStyle w:val="BodyText3"/>
              <w:spacing w:beforeLines="10" w:before="24" w:afterLines="10" w:after="24" w:line="0" w:lineRule="atLeast"/>
              <w:ind w:right="0"/>
              <w:jc w:val="center"/>
              <w:rPr>
                <w:rFonts w:ascii="Times New Roman" w:hAnsi="Times New Roman"/>
                <w:color w:val="auto"/>
                <w:spacing w:val="0"/>
                <w:kern w:val="2"/>
                <w:sz w:val="12"/>
                <w:szCs w:val="12"/>
                <w:lang w:eastAsia="zh-CN"/>
              </w:rPr>
            </w:pPr>
            <w:r>
              <w:rPr>
                <w:rFonts w:ascii="Times New Roman" w:hAnsi="Times New Roman"/>
                <w:color w:val="auto"/>
                <w:spacing w:val="0"/>
                <w:kern w:val="2"/>
                <w:sz w:val="12"/>
                <w:szCs w:val="12"/>
                <w:lang w:eastAsia="zh-CN"/>
              </w:rPr>
              <w:t>10</w:t>
            </w:r>
          </w:p>
        </w:tc>
      </w:tr>
      <w:tr w:rsidR="00872005" w:rsidTr="00084EE9">
        <w:trPr>
          <w:trHeight w:val="20"/>
          <w:jc w:val="center"/>
        </w:trPr>
        <w:tc>
          <w:tcPr>
            <w:tcW w:w="1975" w:type="dxa"/>
            <w:vAlign w:val="center"/>
          </w:tcPr>
          <w:p w:rsidR="00EE7251" w:rsidRDefault="007270C2">
            <w:pPr>
              <w:pStyle w:val="BodyText3"/>
              <w:spacing w:beforeLines="10" w:before="24" w:afterLines="10" w:after="24" w:line="0" w:lineRule="atLeast"/>
              <w:ind w:right="0"/>
              <w:rPr>
                <w:rFonts w:ascii="Times New Roman" w:hAnsi="Times New Roman"/>
                <w:b/>
                <w:color w:val="auto"/>
                <w:spacing w:val="0"/>
                <w:sz w:val="12"/>
                <w:szCs w:val="12"/>
              </w:rPr>
            </w:pPr>
            <w:r>
              <w:rPr>
                <w:rFonts w:ascii="Times New Roman" w:hAnsi="Times New Roman"/>
                <w:color w:val="auto"/>
                <w:spacing w:val="0"/>
                <w:sz w:val="12"/>
                <w:szCs w:val="12"/>
              </w:rPr>
              <w:t>6-monoacetylmorfin (6-MAM)</w:t>
            </w:r>
          </w:p>
        </w:tc>
        <w:tc>
          <w:tcPr>
            <w:tcW w:w="1930" w:type="dxa"/>
            <w:vAlign w:val="center"/>
          </w:tcPr>
          <w:p w:rsidR="00EE7251" w:rsidRDefault="007270C2">
            <w:pPr>
              <w:pStyle w:val="BodyText3"/>
              <w:spacing w:beforeLines="10" w:before="24" w:afterLines="10" w:after="24" w:line="0" w:lineRule="atLeast"/>
              <w:ind w:right="0"/>
              <w:rPr>
                <w:rFonts w:ascii="Times New Roman" w:hAnsi="Times New Roman"/>
                <w:b/>
                <w:color w:val="auto"/>
                <w:spacing w:val="0"/>
                <w:sz w:val="12"/>
                <w:szCs w:val="12"/>
              </w:rPr>
            </w:pPr>
            <w:r>
              <w:rPr>
                <w:rFonts w:ascii="Times New Roman" w:hAnsi="Times New Roman"/>
                <w:color w:val="auto"/>
                <w:spacing w:val="0"/>
                <w:sz w:val="12"/>
                <w:szCs w:val="12"/>
              </w:rPr>
              <w:t>6-monoacetylmorfin</w:t>
            </w:r>
          </w:p>
        </w:tc>
        <w:tc>
          <w:tcPr>
            <w:tcW w:w="915" w:type="dxa"/>
            <w:vAlign w:val="center"/>
          </w:tcPr>
          <w:p w:rsidR="00EE7251" w:rsidRDefault="007270C2">
            <w:pPr>
              <w:pStyle w:val="BodyText3"/>
              <w:spacing w:beforeLines="10" w:before="24" w:afterLines="10" w:after="24" w:line="0" w:lineRule="atLeast"/>
              <w:ind w:right="0"/>
              <w:jc w:val="center"/>
              <w:rPr>
                <w:rFonts w:ascii="Times New Roman" w:hAnsi="Times New Roman"/>
                <w:color w:val="auto"/>
                <w:spacing w:val="0"/>
                <w:kern w:val="2"/>
                <w:sz w:val="12"/>
                <w:szCs w:val="12"/>
                <w:lang w:eastAsia="zh-CN"/>
              </w:rPr>
            </w:pPr>
            <w:r>
              <w:rPr>
                <w:rFonts w:ascii="Times New Roman" w:hAnsi="Times New Roman"/>
                <w:color w:val="auto"/>
                <w:spacing w:val="0"/>
                <w:kern w:val="2"/>
                <w:sz w:val="12"/>
                <w:szCs w:val="12"/>
                <w:lang w:eastAsia="zh-CN"/>
              </w:rPr>
              <w:t>20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Morfin (MOP 300)</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Morfin</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300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Morfin (OPI, MOP 2000)</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Morfin</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2 000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Oxycodon (OXY)</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Oxycodon</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100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jc w:val="left"/>
              <w:rPr>
                <w:rFonts w:ascii="Times New Roman" w:hAnsi="Times New Roman"/>
                <w:sz w:val="12"/>
                <w:szCs w:val="12"/>
              </w:rPr>
            </w:pPr>
            <w:r>
              <w:rPr>
                <w:rFonts w:ascii="Times New Roman" w:hAnsi="Times New Roman"/>
                <w:sz w:val="12"/>
                <w:szCs w:val="12"/>
              </w:rPr>
              <w:t>Fencyklidin (PCP)</w:t>
            </w:r>
          </w:p>
        </w:tc>
        <w:tc>
          <w:tcPr>
            <w:tcW w:w="1930" w:type="dxa"/>
            <w:vAlign w:val="center"/>
          </w:tcPr>
          <w:p w:rsidR="00EE7251" w:rsidRDefault="007270C2">
            <w:pPr>
              <w:autoSpaceDE w:val="0"/>
              <w:autoSpaceDN w:val="0"/>
              <w:adjustRightInd w:val="0"/>
              <w:spacing w:beforeLines="10" w:before="24" w:afterLines="10" w:after="24" w:line="0" w:lineRule="atLeast"/>
              <w:jc w:val="left"/>
              <w:rPr>
                <w:rFonts w:ascii="Times New Roman" w:hAnsi="Times New Roman"/>
                <w:sz w:val="12"/>
                <w:szCs w:val="12"/>
              </w:rPr>
            </w:pPr>
            <w:r>
              <w:rPr>
                <w:rFonts w:ascii="Times New Roman" w:hAnsi="Times New Roman"/>
                <w:sz w:val="12"/>
                <w:szCs w:val="12"/>
              </w:rPr>
              <w:t>Fencyklidin</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25</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Pregabalin (PGB)</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Pregabalin</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1 000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Pregabalin (PGB)</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Pregabalin</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500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Propoxyfen (PPX)</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Propoxyfen</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300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UR-144</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Syntetický kanabinoid</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50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Carisoprodol (SOMA)</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Karisoprodol</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1 000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Tramadol (TRA)</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Tramadol</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200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Tramadol (TRA)</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Tramadol</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100</w:t>
            </w:r>
          </w:p>
        </w:tc>
      </w:tr>
      <w:tr w:rsidR="00872005" w:rsidTr="00084EE9">
        <w:trPr>
          <w:trHeight w:val="20"/>
          <w:jc w:val="center"/>
        </w:trPr>
        <w:tc>
          <w:tcPr>
            <w:tcW w:w="1975"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Tricyklická antidepresiva (TCA)</w:t>
            </w:r>
          </w:p>
        </w:tc>
        <w:tc>
          <w:tcPr>
            <w:tcW w:w="1930" w:type="dxa"/>
            <w:vAlign w:val="center"/>
          </w:tcPr>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Nortriptylin</w:t>
            </w:r>
          </w:p>
        </w:tc>
        <w:tc>
          <w:tcPr>
            <w:tcW w:w="915" w:type="dxa"/>
            <w:vAlign w:val="center"/>
          </w:tcPr>
          <w:p w:rsidR="00EE7251" w:rsidRDefault="007270C2">
            <w:pPr>
              <w:autoSpaceDE w:val="0"/>
              <w:autoSpaceDN w:val="0"/>
              <w:adjustRightInd w:val="0"/>
              <w:spacing w:beforeLines="10" w:before="24" w:afterLines="10" w:after="24" w:line="0" w:lineRule="atLeast"/>
              <w:jc w:val="center"/>
              <w:rPr>
                <w:rFonts w:ascii="Times New Roman" w:hAnsi="Times New Roman"/>
                <w:sz w:val="12"/>
                <w:szCs w:val="12"/>
              </w:rPr>
            </w:pPr>
            <w:r>
              <w:rPr>
                <w:rFonts w:ascii="Times New Roman" w:hAnsi="Times New Roman"/>
                <w:sz w:val="12"/>
                <w:szCs w:val="12"/>
              </w:rPr>
              <w:t>1 000</w:t>
            </w:r>
          </w:p>
        </w:tc>
      </w:tr>
      <w:tr w:rsidR="00872005" w:rsidTr="00084EE9">
        <w:trPr>
          <w:trHeight w:val="20"/>
          <w:jc w:val="center"/>
        </w:trPr>
        <w:tc>
          <w:tcPr>
            <w:tcW w:w="1975" w:type="dxa"/>
            <w:vAlign w:val="center"/>
          </w:tcPr>
          <w:p w:rsidR="00F06C6A" w:rsidRPr="0040799C" w:rsidRDefault="007270C2" w:rsidP="00F06C6A">
            <w:pPr>
              <w:autoSpaceDE w:val="0"/>
              <w:autoSpaceDN w:val="0"/>
              <w:adjustRightInd w:val="0"/>
              <w:spacing w:beforeLines="10" w:before="24" w:afterLines="10" w:after="24" w:line="0" w:lineRule="atLeast"/>
              <w:rPr>
                <w:rFonts w:ascii="Times New Roman" w:hAnsi="Times New Roman"/>
                <w:sz w:val="12"/>
                <w:szCs w:val="12"/>
              </w:rPr>
            </w:pPr>
            <w:r w:rsidRPr="0040799C">
              <w:rPr>
                <w:rFonts w:ascii="Times New Roman" w:hAnsi="Times New Roman"/>
                <w:sz w:val="12"/>
                <w:szCs w:val="12"/>
              </w:rPr>
              <w:t>Zolpidem (ZOL)</w:t>
            </w:r>
          </w:p>
        </w:tc>
        <w:tc>
          <w:tcPr>
            <w:tcW w:w="1930" w:type="dxa"/>
            <w:vAlign w:val="center"/>
          </w:tcPr>
          <w:p w:rsidR="00F06C6A" w:rsidRPr="0040799C" w:rsidRDefault="007270C2" w:rsidP="00F06C6A">
            <w:pPr>
              <w:autoSpaceDE w:val="0"/>
              <w:autoSpaceDN w:val="0"/>
              <w:adjustRightInd w:val="0"/>
              <w:spacing w:beforeLines="10" w:before="24" w:afterLines="10" w:after="24" w:line="0" w:lineRule="atLeast"/>
              <w:rPr>
                <w:rFonts w:ascii="Times New Roman" w:hAnsi="Times New Roman"/>
                <w:sz w:val="12"/>
                <w:szCs w:val="12"/>
              </w:rPr>
            </w:pPr>
            <w:r w:rsidRPr="0040799C">
              <w:rPr>
                <w:rFonts w:ascii="Times New Roman" w:hAnsi="Times New Roman"/>
                <w:sz w:val="12"/>
                <w:szCs w:val="12"/>
              </w:rPr>
              <w:t>Zolpidem</w:t>
            </w:r>
          </w:p>
        </w:tc>
        <w:tc>
          <w:tcPr>
            <w:tcW w:w="915" w:type="dxa"/>
            <w:vAlign w:val="center"/>
          </w:tcPr>
          <w:p w:rsidR="00F06C6A" w:rsidRPr="0040799C" w:rsidRDefault="007270C2" w:rsidP="00F06C6A">
            <w:pPr>
              <w:autoSpaceDE w:val="0"/>
              <w:autoSpaceDN w:val="0"/>
              <w:adjustRightInd w:val="0"/>
              <w:spacing w:beforeLines="10" w:before="24" w:afterLines="10" w:after="24" w:line="0" w:lineRule="atLeast"/>
              <w:jc w:val="center"/>
              <w:rPr>
                <w:rFonts w:ascii="Times New Roman" w:hAnsi="Times New Roman"/>
                <w:sz w:val="12"/>
                <w:szCs w:val="12"/>
              </w:rPr>
            </w:pPr>
            <w:r w:rsidRPr="0040799C">
              <w:rPr>
                <w:rFonts w:ascii="Times New Roman" w:hAnsi="Times New Roman"/>
                <w:sz w:val="12"/>
                <w:szCs w:val="12"/>
              </w:rPr>
              <w:t>50</w:t>
            </w:r>
          </w:p>
        </w:tc>
      </w:tr>
    </w:tbl>
    <w:p w:rsidR="00EE7251" w:rsidRDefault="00EE7251">
      <w:pPr>
        <w:spacing w:beforeLines="10" w:before="24" w:afterLines="10" w:after="24" w:line="0" w:lineRule="atLeast"/>
        <w:rPr>
          <w:rFonts w:ascii="Times New Roman" w:hAnsi="Times New Roman"/>
          <w:bCs/>
          <w:spacing w:val="2"/>
          <w:sz w:val="12"/>
          <w:szCs w:val="12"/>
        </w:rPr>
      </w:pPr>
    </w:p>
    <w:p w:rsidR="00EE7251" w:rsidRDefault="007270C2">
      <w:pPr>
        <w:spacing w:beforeLines="10" w:before="24" w:afterLines="10" w:after="24" w:line="0" w:lineRule="atLeast"/>
        <w:rPr>
          <w:rFonts w:ascii="Times New Roman" w:hAnsi="Times New Roman"/>
          <w:bCs/>
          <w:spacing w:val="2"/>
          <w:sz w:val="12"/>
          <w:szCs w:val="12"/>
        </w:rPr>
      </w:pPr>
      <w:r>
        <w:rPr>
          <w:rFonts w:ascii="Times New Roman" w:hAnsi="Times New Roman"/>
          <w:bCs/>
          <w:spacing w:val="2"/>
          <w:sz w:val="12"/>
          <w:szCs w:val="12"/>
        </w:rPr>
        <w:t>Tento test detekuje i další příbuzné sloučeniny, viz tabulka analytické specificity v tomto příbalovém letáku.</w:t>
      </w:r>
    </w:p>
    <w:p w:rsidR="00EE7251" w:rsidRPr="00060D89" w:rsidRDefault="007270C2">
      <w:pPr>
        <w:overflowPunct w:val="0"/>
        <w:autoSpaceDE w:val="0"/>
        <w:autoSpaceDN w:val="0"/>
        <w:adjustRightInd w:val="0"/>
        <w:spacing w:beforeLines="10" w:before="24" w:afterLines="10" w:after="24" w:line="0" w:lineRule="atLeast"/>
        <w:textAlignment w:val="baseline"/>
        <w:rPr>
          <w:rFonts w:ascii="Times New Roman" w:hAnsi="Times New Roman"/>
          <w:bCs/>
          <w:color w:val="000000"/>
          <w:spacing w:val="2"/>
          <w:sz w:val="12"/>
          <w:szCs w:val="12"/>
        </w:rPr>
      </w:pPr>
      <w:r w:rsidRPr="00060D89">
        <w:rPr>
          <w:rFonts w:ascii="Times New Roman" w:hAnsi="Times New Roman"/>
          <w:bCs/>
          <w:color w:val="000000"/>
          <w:spacing w:val="2"/>
          <w:sz w:val="12"/>
          <w:szCs w:val="12"/>
        </w:rPr>
        <w:t>Testovací proužek One Step Drugs of Abuse Test Dip Card (moč) by měl být používán pouze zdravotnickými pracovníky v klinickém/nemocničním prostředí jako pomůcka při screeningu zneužívání návykových látek za účelem stanovení následných léčebných opatření v kombinaci s klinickými příznaky.</w:t>
      </w:r>
    </w:p>
    <w:p w:rsidR="00084EE9" w:rsidRPr="00060D89" w:rsidRDefault="007270C2" w:rsidP="00084EE9">
      <w:pPr>
        <w:pStyle w:val="BodyText3"/>
        <w:spacing w:beforeLines="10" w:before="24" w:afterLines="10" w:after="24" w:line="0" w:lineRule="atLeast"/>
        <w:ind w:right="0"/>
        <w:rPr>
          <w:rFonts w:ascii="Times New Roman" w:hAnsi="Times New Roman"/>
          <w:bCs/>
          <w:color w:val="000000"/>
          <w:spacing w:val="2"/>
          <w:kern w:val="2"/>
          <w:sz w:val="12"/>
          <w:szCs w:val="12"/>
          <w:lang w:eastAsia="zh-CN"/>
        </w:rPr>
      </w:pPr>
      <w:r w:rsidRPr="00060D89">
        <w:rPr>
          <w:rFonts w:ascii="Times New Roman" w:hAnsi="Times New Roman"/>
          <w:bCs/>
          <w:color w:val="000000"/>
          <w:spacing w:val="2"/>
          <w:kern w:val="2"/>
          <w:sz w:val="12"/>
          <w:szCs w:val="12"/>
          <w:lang w:eastAsia="zh-CN"/>
        </w:rPr>
        <w:t>Výsledky testu lze použít jako důkaz a podklad pro terapeutické a léčebné plány v případě drogové závislosti a toxické psychózy. Určeno pouze pro laboratorní profesionály k diagnostickému použití in vitro.</w:t>
      </w:r>
    </w:p>
    <w:p w:rsidR="00EE7251" w:rsidRDefault="007270C2">
      <w:pPr>
        <w:pStyle w:val="BodyText3"/>
        <w:spacing w:beforeLines="10" w:before="24" w:afterLines="10" w:after="24" w:line="0" w:lineRule="atLeast"/>
        <w:ind w:right="0"/>
        <w:rPr>
          <w:rFonts w:ascii="Times New Roman" w:hAnsi="Times New Roman"/>
          <w:b/>
          <w:color w:val="auto"/>
          <w:spacing w:val="0"/>
          <w:sz w:val="12"/>
          <w:szCs w:val="12"/>
          <w:lang w:eastAsia="zh-CN"/>
        </w:rPr>
      </w:pPr>
      <w:r>
        <w:rPr>
          <w:rFonts w:ascii="Times New Roman" w:hAnsi="Times New Roman"/>
          <w:b/>
          <w:color w:val="auto"/>
          <w:spacing w:val="0"/>
          <w:sz w:val="12"/>
          <w:szCs w:val="12"/>
          <w:lang w:eastAsia="zh-CN"/>
        </w:rPr>
        <w:t>Tento test poskytuje pouze předběžný analytický výsledek. K získání potvrzeného analytického výsledku je nutné použít specifickější alternativní chemickou metodu. Preferovanou potvrzovací metodou je plynová chromatografie/hmotnostní spektrometrie (GC/MS). K výsledkům testů na zneužívání návykových látek je třeba přistupovat s klinickou opatrností a odborným úsudkem, zejména v případě předběžných pozitivních výsledků.</w:t>
      </w:r>
    </w:p>
    <w:p w:rsidR="00EE7251" w:rsidRDefault="007270C2">
      <w:pPr>
        <w:pStyle w:val="Heading2"/>
        <w:shd w:val="clear" w:color="auto" w:fill="000000"/>
        <w:spacing w:before="80" w:after="80" w:line="0" w:lineRule="atLeast"/>
        <w:jc w:val="center"/>
        <w:rPr>
          <w:rFonts w:ascii="Times New Roman" w:hAnsi="Times New Roman"/>
          <w:sz w:val="12"/>
          <w:szCs w:val="12"/>
        </w:rPr>
      </w:pPr>
      <w:bookmarkStart w:id="4" w:name="OLE_LINK7"/>
      <w:r>
        <w:rPr>
          <w:rFonts w:ascii="Times New Roman" w:hAnsi="Times New Roman"/>
          <w:sz w:val="12"/>
          <w:szCs w:val="12"/>
        </w:rPr>
        <w:t>SOUHRN</w:t>
      </w:r>
      <w:bookmarkEnd w:id="4"/>
    </w:p>
    <w:p w:rsidR="00084EE9" w:rsidRPr="0083430D" w:rsidRDefault="007270C2" w:rsidP="00084EE9">
      <w:pPr>
        <w:autoSpaceDE w:val="0"/>
        <w:autoSpaceDN w:val="0"/>
        <w:adjustRightInd w:val="0"/>
        <w:spacing w:beforeLines="10" w:before="24" w:afterLines="10" w:after="24" w:line="0" w:lineRule="atLeast"/>
        <w:rPr>
          <w:rFonts w:ascii="Times New Roman" w:hAnsi="Times New Roman"/>
          <w:b/>
          <w:iCs/>
          <w:sz w:val="12"/>
          <w:szCs w:val="12"/>
        </w:rPr>
      </w:pPr>
      <w:r w:rsidRPr="0083430D">
        <w:rPr>
          <w:rFonts w:ascii="Times New Roman" w:hAnsi="Times New Roman"/>
          <w:b/>
          <w:iCs/>
          <w:sz w:val="12"/>
          <w:szCs w:val="12"/>
        </w:rPr>
        <w:t>ACETAMINOFEN (ACE)</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Cs/>
          <w:iCs/>
          <w:color w:val="000000"/>
          <w:sz w:val="12"/>
          <w:szCs w:val="12"/>
        </w:rPr>
      </w:pPr>
      <w:r w:rsidRPr="0083430D">
        <w:rPr>
          <w:rFonts w:ascii="Times New Roman" w:hAnsi="Times New Roman"/>
          <w:bCs/>
          <w:iCs/>
          <w:sz w:val="12"/>
          <w:szCs w:val="12"/>
        </w:rPr>
        <w:t xml:space="preserve">Paracetamol, známý také jako Tylenol, Panadol a Bufferin, je metabolitem fenacetinu in vivo. Působí inhibicí prostaglandin syntázy, termoregulačního centra v hypotalamu. Snižuje syntézu a uvolňování prostaglandinu PGE1, bradykininu a histaminu.  Hlavní účinek PGE1 v nervovém centru vede ke snížení centrální nastavené hodnoty tělesné teploty, což vnímají povrchové teplotní senzory relativně, což způsobuje neuromodulaci, periferní vaskulární expanzi, pocení a antipyretický účinek. Jeho inhibice syntézy prostaglandinů v centrálním nervovém systému funguje </w:t>
      </w:r>
      <w:r w:rsidRPr="00060D89">
        <w:rPr>
          <w:rFonts w:ascii="Times New Roman" w:hAnsi="Times New Roman"/>
          <w:bCs/>
          <w:iCs/>
          <w:color w:val="000000"/>
          <w:sz w:val="12"/>
          <w:szCs w:val="12"/>
        </w:rPr>
        <w:t xml:space="preserve">podobně jako aspirin, má však slabé protizánětlivé účinky.  Nemá žádný vliv na krevní destičky a koagulační mechanismus. </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Cs/>
          <w:iCs/>
          <w:color w:val="000000"/>
          <w:sz w:val="12"/>
          <w:szCs w:val="12"/>
        </w:rPr>
      </w:pPr>
      <w:r w:rsidRPr="00060D89">
        <w:rPr>
          <w:rFonts w:ascii="Times New Roman" w:hAnsi="Times New Roman"/>
          <w:bCs/>
          <w:iCs/>
          <w:color w:val="000000"/>
          <w:sz w:val="12"/>
          <w:szCs w:val="12"/>
        </w:rPr>
        <w:t>Parametr v testu je určen k detekci acetaminofenu ve vzorku moči v koncentraci 5 000 ng/ml, aby pomohl při diagnostice předávkování acetaminofenem v klinickém/nemocničním prostředí a umožnil následnou léčbu, protože předávkování acetaminofenem může způsobit kopřivku, potíže s dýcháním; otok obličeje, rtů, jazyka nebo hrdla. průjem zvýšené pocení ztráta chuti k jídlu nevolnost nebo zvracení žaludeční křeče nebo bolesti otok, bolest nebo citlivost v horní části břicha nebo v oblasti žaludku.</w:t>
      </w:r>
    </w:p>
    <w:p w:rsidR="00084EE9" w:rsidRPr="00196311" w:rsidRDefault="00084EE9" w:rsidP="00084EE9">
      <w:pPr>
        <w:autoSpaceDE w:val="0"/>
        <w:autoSpaceDN w:val="0"/>
        <w:adjustRightInd w:val="0"/>
        <w:spacing w:beforeLines="10" w:before="24" w:afterLines="10" w:after="24" w:line="0" w:lineRule="atLeast"/>
        <w:rPr>
          <w:rFonts w:ascii="Times New Roman" w:hAnsi="Times New Roman"/>
          <w:b/>
          <w:iCs/>
          <w:color w:val="FF0000"/>
          <w:sz w:val="12"/>
          <w:szCs w:val="12"/>
        </w:rPr>
      </w:pPr>
    </w:p>
    <w:p w:rsidR="00084EE9" w:rsidRPr="0083430D" w:rsidRDefault="007270C2" w:rsidP="00084EE9">
      <w:pPr>
        <w:autoSpaceDE w:val="0"/>
        <w:autoSpaceDN w:val="0"/>
        <w:adjustRightInd w:val="0"/>
        <w:spacing w:beforeLines="10" w:before="24" w:afterLines="10" w:after="24" w:line="0" w:lineRule="atLeast"/>
        <w:rPr>
          <w:rFonts w:ascii="Times New Roman" w:hAnsi="Times New Roman"/>
          <w:b/>
          <w:iCs/>
          <w:sz w:val="12"/>
          <w:szCs w:val="12"/>
        </w:rPr>
      </w:pPr>
      <w:r w:rsidRPr="0083430D">
        <w:rPr>
          <w:rFonts w:ascii="Times New Roman" w:hAnsi="Times New Roman"/>
          <w:b/>
          <w:iCs/>
          <w:sz w:val="12"/>
          <w:szCs w:val="12"/>
        </w:rPr>
        <w:t>AMFETAMIN (AMP)</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83430D">
        <w:rPr>
          <w:rFonts w:ascii="Times New Roman" w:hAnsi="Times New Roman"/>
          <w:sz w:val="12"/>
          <w:szCs w:val="12"/>
        </w:rPr>
        <w:t>Amfetamin je látka spadající do seznamu II, dostupná na předpis (Dexedrine</w:t>
      </w:r>
      <w:r w:rsidRPr="0083430D">
        <w:rPr>
          <w:rFonts w:ascii="Times New Roman" w:hAnsi="Times New Roman"/>
          <w:sz w:val="12"/>
          <w:szCs w:val="12"/>
          <w:vertAlign w:val="superscript"/>
        </w:rPr>
        <w:t>®</w:t>
      </w:r>
      <w:r w:rsidRPr="0083430D">
        <w:rPr>
          <w:rFonts w:ascii="Times New Roman" w:hAnsi="Times New Roman"/>
          <w:sz w:val="12"/>
          <w:szCs w:val="12"/>
        </w:rPr>
        <w:t xml:space="preserve"> ) a také na černém trhu.  Amfetaminy jsou třídou silných sympatomimetik s terapeutickým využitím. Chemicky jsou příbuzné přirozeným katecholaminům lidského těla: epinefrinu a norepinefrinu. Účinky amfetaminů obvykle trvají 2–4 hodiny po užití a poločas rozpadu této drogy v těle je 4–24 hodin. Přibližně 30 % </w:t>
      </w:r>
      <w:r w:rsidRPr="00060D89">
        <w:rPr>
          <w:rFonts w:ascii="Times New Roman" w:hAnsi="Times New Roman"/>
          <w:color w:val="000000"/>
          <w:sz w:val="12"/>
          <w:szCs w:val="12"/>
        </w:rPr>
        <w:t>amfetaminů se vylučuje močí v nezměněné formě, zbytek jako hydroxylované a deaminované deriváty.</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iCs/>
          <w:color w:val="000000"/>
          <w:sz w:val="12"/>
          <w:szCs w:val="12"/>
        </w:rPr>
      </w:pPr>
      <w:r w:rsidRPr="00060D89">
        <w:rPr>
          <w:rFonts w:ascii="Times New Roman" w:hAnsi="Times New Roman"/>
          <w:iCs/>
          <w:color w:val="000000"/>
          <w:sz w:val="12"/>
          <w:szCs w:val="12"/>
        </w:rPr>
        <w:t xml:space="preserve">Parametr v testu je určen k detekci </w:t>
      </w:r>
      <w:r w:rsidRPr="00060D89">
        <w:rPr>
          <w:rFonts w:ascii="Times New Roman" w:hAnsi="Times New Roman"/>
          <w:color w:val="000000"/>
          <w:sz w:val="12"/>
          <w:szCs w:val="12"/>
        </w:rPr>
        <w:t xml:space="preserve">amfetaminu </w:t>
      </w:r>
      <w:r w:rsidRPr="00060D89">
        <w:rPr>
          <w:rFonts w:ascii="Times New Roman" w:hAnsi="Times New Roman"/>
          <w:iCs/>
          <w:color w:val="000000"/>
          <w:sz w:val="12"/>
          <w:szCs w:val="12"/>
        </w:rPr>
        <w:t>ve vzorku moči v koncentraci 1 000 ng/ml</w:t>
      </w:r>
      <w:r w:rsidRPr="00060D89">
        <w:rPr>
          <w:rFonts w:ascii="Times New Roman" w:hAnsi="Times New Roman" w:hint="eastAsia"/>
          <w:iCs/>
          <w:color w:val="000000"/>
          <w:sz w:val="12"/>
          <w:szCs w:val="12"/>
        </w:rPr>
        <w:t>,</w:t>
      </w:r>
      <w:r w:rsidRPr="00060D89">
        <w:rPr>
          <w:rFonts w:ascii="Times New Roman" w:hAnsi="Times New Roman"/>
          <w:iCs/>
          <w:color w:val="000000"/>
          <w:sz w:val="12"/>
          <w:szCs w:val="12"/>
        </w:rPr>
        <w:t xml:space="preserve"> 500 ng/ml, 300 ng/ml, aby pomohl při diagnostice předávkování </w:t>
      </w:r>
      <w:r w:rsidRPr="00060D89">
        <w:rPr>
          <w:rFonts w:ascii="Times New Roman" w:hAnsi="Times New Roman"/>
          <w:color w:val="000000"/>
          <w:sz w:val="12"/>
          <w:szCs w:val="12"/>
        </w:rPr>
        <w:t xml:space="preserve">amfetaminem </w:t>
      </w:r>
      <w:r w:rsidRPr="00060D89">
        <w:rPr>
          <w:rFonts w:ascii="Times New Roman" w:hAnsi="Times New Roman"/>
          <w:iCs/>
          <w:color w:val="000000"/>
          <w:sz w:val="12"/>
          <w:szCs w:val="12"/>
        </w:rPr>
        <w:t xml:space="preserve">v klinickém/nemocničním prostředí a umožnil následnou léčbu, protože předávkování </w:t>
      </w:r>
      <w:r w:rsidRPr="00060D89">
        <w:rPr>
          <w:rFonts w:ascii="Times New Roman" w:hAnsi="Times New Roman"/>
          <w:color w:val="000000"/>
          <w:sz w:val="12"/>
          <w:szCs w:val="12"/>
        </w:rPr>
        <w:t xml:space="preserve">amfetaminem </w:t>
      </w:r>
      <w:r w:rsidRPr="00060D89">
        <w:rPr>
          <w:rFonts w:ascii="Times New Roman" w:hAnsi="Times New Roman"/>
          <w:iCs/>
          <w:color w:val="000000"/>
          <w:sz w:val="12"/>
          <w:szCs w:val="12"/>
        </w:rPr>
        <w:t>může vyvolat euforii, bdělost, sníženou chuť k jídlu a pocit zvýšené energie a síly. Kardiovaskulární reakce na amfetaminy zahrnují zvýšený krevní tlak a srdeční arytmie. Akutnější reakce vyvolávají úzkost, paranoiu, halucinace a psychotické chování.</w:t>
      </w:r>
    </w:p>
    <w:p w:rsidR="00084EE9" w:rsidRPr="00196311" w:rsidRDefault="00084EE9" w:rsidP="00084EE9">
      <w:pPr>
        <w:autoSpaceDE w:val="0"/>
        <w:autoSpaceDN w:val="0"/>
        <w:adjustRightInd w:val="0"/>
        <w:spacing w:beforeLines="10" w:before="24" w:afterLines="10" w:after="24" w:line="0" w:lineRule="atLeast"/>
        <w:rPr>
          <w:rFonts w:ascii="Times New Roman" w:hAnsi="Times New Roman"/>
          <w:b/>
          <w:color w:val="FF0000"/>
          <w:sz w:val="12"/>
          <w:szCs w:val="12"/>
        </w:rPr>
      </w:pPr>
    </w:p>
    <w:p w:rsidR="00084EE9" w:rsidRPr="0083430D" w:rsidRDefault="007270C2" w:rsidP="00084EE9">
      <w:pPr>
        <w:autoSpaceDE w:val="0"/>
        <w:autoSpaceDN w:val="0"/>
        <w:adjustRightInd w:val="0"/>
        <w:spacing w:beforeLines="10" w:before="24" w:afterLines="10" w:after="24" w:line="0" w:lineRule="atLeast"/>
        <w:rPr>
          <w:rFonts w:ascii="Times New Roman" w:hAnsi="Times New Roman"/>
          <w:b/>
          <w:sz w:val="12"/>
          <w:szCs w:val="12"/>
        </w:rPr>
      </w:pPr>
      <w:r w:rsidRPr="0083430D">
        <w:rPr>
          <w:rFonts w:ascii="Times New Roman" w:hAnsi="Times New Roman"/>
          <w:b/>
          <w:sz w:val="12"/>
          <w:szCs w:val="12"/>
        </w:rPr>
        <w:t>BARBITURATA (BAR)</w:t>
      </w:r>
    </w:p>
    <w:p w:rsidR="00084EE9" w:rsidRPr="0083430D" w:rsidRDefault="007270C2" w:rsidP="00084EE9">
      <w:pPr>
        <w:autoSpaceDE w:val="0"/>
        <w:autoSpaceDN w:val="0"/>
        <w:adjustRightInd w:val="0"/>
        <w:spacing w:beforeLines="10" w:before="24" w:afterLines="10" w:after="24" w:line="0" w:lineRule="atLeast"/>
        <w:rPr>
          <w:rFonts w:ascii="Times New Roman" w:hAnsi="Times New Roman"/>
          <w:sz w:val="12"/>
          <w:szCs w:val="12"/>
        </w:rPr>
      </w:pPr>
      <w:r w:rsidRPr="0083430D">
        <w:rPr>
          <w:rFonts w:ascii="Times New Roman" w:hAnsi="Times New Roman"/>
          <w:sz w:val="12"/>
          <w:szCs w:val="12"/>
        </w:rPr>
        <w:t>Barbituráty jsou látky tlumící centrální nervový systém. Používají se terapeuticky jako sedativa, hypnotika a antikonvulziva. Barbituráty se téměř vždy užívají perorálně ve formě tobolek nebo tablet. Účinky se podobají účinkům intoxikace alkoholem. Chronické užívání barbiturátů vede k toleranci a fyzické závislosti. Krátkodobě působící barbituráty užívané v dávce 400 mg/den po dobu 2–3 měsíců mohou vyvolat klinicky významný stupeň fyzické závislosti. Abstinenční příznaky, které se objevují během období abstinence, mohou být natolik závažné, že mohou způsobit smrt. Pouze malé množství (méně než 5 %) většiny barbiturátů se vylučuje v nezměněné formě močí.</w:t>
      </w:r>
    </w:p>
    <w:p w:rsidR="00084EE9" w:rsidRPr="0083430D" w:rsidRDefault="007270C2" w:rsidP="00084EE9">
      <w:pPr>
        <w:autoSpaceDE w:val="0"/>
        <w:autoSpaceDN w:val="0"/>
        <w:adjustRightInd w:val="0"/>
        <w:spacing w:beforeLines="10" w:before="24" w:afterLines="10" w:after="24" w:line="0" w:lineRule="atLeast"/>
        <w:rPr>
          <w:rFonts w:ascii="Times New Roman" w:hAnsi="Times New Roman"/>
          <w:sz w:val="12"/>
          <w:szCs w:val="12"/>
        </w:rPr>
      </w:pPr>
      <w:r w:rsidRPr="0083430D">
        <w:rPr>
          <w:rFonts w:ascii="Times New Roman" w:hAnsi="Times New Roman"/>
          <w:sz w:val="12"/>
          <w:szCs w:val="12"/>
        </w:rPr>
        <w:t>Přibližné detekční lhůty pro barbituráty jsou:</w:t>
      </w:r>
    </w:p>
    <w:p w:rsidR="00084EE9" w:rsidRPr="0083430D" w:rsidRDefault="007270C2" w:rsidP="00084EE9">
      <w:pPr>
        <w:autoSpaceDE w:val="0"/>
        <w:autoSpaceDN w:val="0"/>
        <w:adjustRightInd w:val="0"/>
        <w:spacing w:beforeLines="10" w:before="24" w:afterLines="10" w:after="24" w:line="0" w:lineRule="atLeast"/>
        <w:rPr>
          <w:rFonts w:ascii="Times New Roman" w:hAnsi="Times New Roman"/>
          <w:sz w:val="12"/>
          <w:szCs w:val="12"/>
        </w:rPr>
      </w:pPr>
      <w:r w:rsidRPr="0083430D">
        <w:rPr>
          <w:rFonts w:ascii="Times New Roman" w:hAnsi="Times New Roman"/>
          <w:sz w:val="12"/>
          <w:szCs w:val="12"/>
        </w:rPr>
        <w:t>Krátkodobě působící (např. sekobarbital) 100 mg PO (perorálně) 4,5 dne</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83430D">
        <w:rPr>
          <w:rFonts w:ascii="Times New Roman" w:hAnsi="Times New Roman"/>
          <w:sz w:val="12"/>
          <w:szCs w:val="12"/>
        </w:rPr>
        <w:t xml:space="preserve">Dlouhodobě </w:t>
      </w:r>
      <w:r w:rsidRPr="00060D89">
        <w:rPr>
          <w:rFonts w:ascii="Times New Roman" w:hAnsi="Times New Roman"/>
          <w:color w:val="000000"/>
          <w:sz w:val="12"/>
          <w:szCs w:val="12"/>
        </w:rPr>
        <w:t>působící (např. fenobarbital) 400 mg PO (perorálně) 7 dní.</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iCs/>
          <w:color w:val="000000"/>
          <w:sz w:val="12"/>
          <w:szCs w:val="12"/>
        </w:rPr>
        <w:t xml:space="preserve">Tento test je určen k detekci </w:t>
      </w:r>
      <w:r w:rsidRPr="00060D89">
        <w:rPr>
          <w:rFonts w:ascii="Times New Roman" w:hAnsi="Times New Roman"/>
          <w:color w:val="000000"/>
          <w:sz w:val="12"/>
          <w:szCs w:val="12"/>
        </w:rPr>
        <w:t xml:space="preserve">barbiturátů </w:t>
      </w:r>
      <w:r w:rsidRPr="00060D89">
        <w:rPr>
          <w:rFonts w:ascii="Times New Roman" w:hAnsi="Times New Roman"/>
          <w:iCs/>
          <w:color w:val="000000"/>
          <w:sz w:val="12"/>
          <w:szCs w:val="12"/>
        </w:rPr>
        <w:t xml:space="preserve">ve vzorku moči v koncentracích 300 ng/ml a 200 ng/ml, aby napomohl při diagnostice předávkování </w:t>
      </w:r>
      <w:r w:rsidRPr="00060D89">
        <w:rPr>
          <w:rFonts w:ascii="Times New Roman" w:hAnsi="Times New Roman"/>
          <w:color w:val="000000"/>
          <w:sz w:val="12"/>
          <w:szCs w:val="12"/>
        </w:rPr>
        <w:t xml:space="preserve">barbituráty </w:t>
      </w:r>
      <w:r w:rsidRPr="00060D89">
        <w:rPr>
          <w:rFonts w:ascii="Times New Roman" w:hAnsi="Times New Roman"/>
          <w:iCs/>
          <w:color w:val="000000"/>
          <w:sz w:val="12"/>
          <w:szCs w:val="12"/>
        </w:rPr>
        <w:t xml:space="preserve">v klinickém či nemocničním prostředí a umožnil tak následnou léčbu, jelikož předávkování </w:t>
      </w:r>
      <w:r w:rsidRPr="00060D89">
        <w:rPr>
          <w:rFonts w:ascii="Times New Roman" w:hAnsi="Times New Roman"/>
          <w:color w:val="000000"/>
          <w:sz w:val="12"/>
          <w:szCs w:val="12"/>
        </w:rPr>
        <w:t xml:space="preserve">barbituráty </w:t>
      </w:r>
      <w:r w:rsidRPr="00060D89">
        <w:rPr>
          <w:rFonts w:ascii="Times New Roman" w:hAnsi="Times New Roman"/>
          <w:iCs/>
          <w:color w:val="000000"/>
          <w:sz w:val="12"/>
          <w:szCs w:val="12"/>
        </w:rPr>
        <w:t>může vyvolat alergické reakce, jako jsou vyrážka, astma nebo trombocytopenie. Akutní otrava může vést k závažné respirační a kardiovaskulární depresi, případně i ke smrti.</w:t>
      </w:r>
    </w:p>
    <w:p w:rsidR="00084EE9" w:rsidRPr="00196311" w:rsidRDefault="00084EE9" w:rsidP="00084EE9">
      <w:pPr>
        <w:autoSpaceDE w:val="0"/>
        <w:autoSpaceDN w:val="0"/>
        <w:adjustRightInd w:val="0"/>
        <w:spacing w:beforeLines="10" w:before="24" w:afterLines="10" w:after="24" w:line="0" w:lineRule="atLeast"/>
        <w:rPr>
          <w:rFonts w:ascii="Times New Roman" w:hAnsi="Times New Roman"/>
          <w:b/>
          <w:color w:val="FF0000"/>
          <w:sz w:val="12"/>
          <w:szCs w:val="12"/>
        </w:rPr>
      </w:pPr>
    </w:p>
    <w:p w:rsidR="00084EE9" w:rsidRPr="0083430D" w:rsidRDefault="007270C2" w:rsidP="00084EE9">
      <w:pPr>
        <w:autoSpaceDE w:val="0"/>
        <w:autoSpaceDN w:val="0"/>
        <w:adjustRightInd w:val="0"/>
        <w:spacing w:beforeLines="10" w:before="24" w:afterLines="10" w:after="24" w:line="0" w:lineRule="atLeast"/>
        <w:rPr>
          <w:rFonts w:ascii="Times New Roman" w:hAnsi="Times New Roman"/>
          <w:b/>
          <w:sz w:val="12"/>
          <w:szCs w:val="12"/>
        </w:rPr>
      </w:pPr>
      <w:r w:rsidRPr="0083430D">
        <w:rPr>
          <w:rFonts w:ascii="Times New Roman" w:hAnsi="Times New Roman"/>
          <w:b/>
          <w:sz w:val="12"/>
          <w:szCs w:val="12"/>
        </w:rPr>
        <w:t>BUPRENORFIN (BUP)</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83430D">
        <w:rPr>
          <w:rFonts w:ascii="Times New Roman" w:hAnsi="Times New Roman"/>
          <w:sz w:val="12"/>
          <w:szCs w:val="12"/>
        </w:rPr>
        <w:t>Buprenorfin je polosyntetické opioidní analgetikum odvozené od tebainu, složky opia. Má delší trvání účinku než morfin, pokud je indikován k léčbě středně silné až silné bolesti, perioperační analgezie a závislosti na opioidech. Nízké dávky buprenorfinu vyvolávají dostatečný agonistický účinek, který umožňuje osobám závislým na opioidech přestat s jejich zneužíváním, aniž by pociťovaly abstinenční příznaky. Buprenorfin nese nižší riziko zneužívání, závislosti a vedlejších účinků ve srovnání s plnými opioidními agonisty kvůli „stropnímu efektu“, což znamená, že při dosažení plató při středních dávkách již nedochází k dalšímu zvyšování účinku s dalším zvyšováním dávky. Ukázalo se však také, že buprenorfin má potenciál ke zneužívání a může sám o sobě způsobit závislost. Subutex</w:t>
      </w:r>
      <w:r w:rsidRPr="0083430D">
        <w:rPr>
          <w:rFonts w:ascii="Times New Roman" w:hAnsi="Times New Roman"/>
          <w:sz w:val="12"/>
          <w:szCs w:val="12"/>
          <w:vertAlign w:val="superscript"/>
        </w:rPr>
        <w:t>®</w:t>
      </w:r>
      <w:r w:rsidRPr="0083430D">
        <w:rPr>
          <w:rFonts w:ascii="Times New Roman" w:hAnsi="Times New Roman"/>
          <w:sz w:val="12"/>
          <w:szCs w:val="12"/>
        </w:rPr>
        <w:t>a kombinovaný přípravek buprenorfinu a naloxonu, Suboxone</w:t>
      </w:r>
      <w:r w:rsidRPr="0083430D">
        <w:rPr>
          <w:rFonts w:ascii="Times New Roman" w:hAnsi="Times New Roman"/>
          <w:sz w:val="12"/>
          <w:szCs w:val="12"/>
          <w:vertAlign w:val="superscript"/>
        </w:rPr>
        <w:t>®</w:t>
      </w:r>
      <w:r w:rsidRPr="0083430D">
        <w:rPr>
          <w:rFonts w:ascii="Times New Roman" w:hAnsi="Times New Roman"/>
          <w:sz w:val="12"/>
          <w:szCs w:val="12"/>
        </w:rPr>
        <w:t xml:space="preserve">, jsou jediné dvě formy buprenorfinu, které byly v roce 2002 schváleny FDA pro použití v </w:t>
      </w:r>
      <w:r w:rsidRPr="00060D89">
        <w:rPr>
          <w:rFonts w:ascii="Times New Roman" w:hAnsi="Times New Roman"/>
          <w:color w:val="000000"/>
          <w:sz w:val="12"/>
          <w:szCs w:val="12"/>
        </w:rPr>
        <w:t>léčbě závislosti</w:t>
      </w:r>
      <w:r w:rsidRPr="0083430D">
        <w:rPr>
          <w:rFonts w:ascii="Times New Roman" w:hAnsi="Times New Roman"/>
          <w:sz w:val="12"/>
          <w:szCs w:val="12"/>
        </w:rPr>
        <w:t xml:space="preserve"> na opioidech</w:t>
      </w:r>
      <w:r w:rsidRPr="00060D89">
        <w:rPr>
          <w:rFonts w:ascii="Times New Roman" w:hAnsi="Times New Roman"/>
          <w:color w:val="000000"/>
          <w:sz w:val="12"/>
          <w:szCs w:val="12"/>
        </w:rPr>
        <w:t>. Buprenorfin byl přeřazen z drogy seznamu V do seznamu III těsně před schválením přípravků Suboxone a Subutex ze strany FDA.</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iCs/>
          <w:color w:val="000000"/>
          <w:sz w:val="12"/>
          <w:szCs w:val="12"/>
        </w:rPr>
      </w:pPr>
      <w:r w:rsidRPr="00060D89">
        <w:rPr>
          <w:rFonts w:ascii="Times New Roman" w:hAnsi="Times New Roman"/>
          <w:iCs/>
          <w:color w:val="000000"/>
          <w:sz w:val="12"/>
          <w:szCs w:val="12"/>
        </w:rPr>
        <w:t xml:space="preserve">Parametr v testu je určen k detekci </w:t>
      </w:r>
      <w:r w:rsidRPr="00060D89">
        <w:rPr>
          <w:rFonts w:ascii="Times New Roman" w:hAnsi="Times New Roman"/>
          <w:color w:val="000000"/>
          <w:sz w:val="12"/>
          <w:szCs w:val="12"/>
        </w:rPr>
        <w:t xml:space="preserve">buprenorfinu </w:t>
      </w:r>
      <w:r w:rsidRPr="00060D89">
        <w:rPr>
          <w:rFonts w:ascii="Times New Roman" w:hAnsi="Times New Roman"/>
          <w:iCs/>
          <w:color w:val="000000"/>
          <w:sz w:val="12"/>
          <w:szCs w:val="12"/>
        </w:rPr>
        <w:t xml:space="preserve">v moči v koncentraci 10 ng/ml, aby pomohl při diagnostice předávkování </w:t>
      </w:r>
      <w:r w:rsidRPr="00060D89">
        <w:rPr>
          <w:rFonts w:ascii="Times New Roman" w:hAnsi="Times New Roman"/>
          <w:color w:val="000000"/>
          <w:sz w:val="12"/>
          <w:szCs w:val="12"/>
        </w:rPr>
        <w:t xml:space="preserve">buprenorfinem </w:t>
      </w:r>
      <w:r w:rsidRPr="00060D89">
        <w:rPr>
          <w:rFonts w:ascii="Times New Roman" w:hAnsi="Times New Roman"/>
          <w:iCs/>
          <w:color w:val="000000"/>
          <w:sz w:val="12"/>
          <w:szCs w:val="12"/>
        </w:rPr>
        <w:t xml:space="preserve">v klinickém/nemocničním prostředí a umožnil následnou léčbu, protože předávkování </w:t>
      </w:r>
      <w:r w:rsidRPr="00060D89">
        <w:rPr>
          <w:rFonts w:ascii="Times New Roman" w:hAnsi="Times New Roman"/>
          <w:color w:val="000000"/>
          <w:sz w:val="12"/>
          <w:szCs w:val="12"/>
        </w:rPr>
        <w:t xml:space="preserve">buprenorfinem </w:t>
      </w:r>
      <w:r w:rsidRPr="00060D89">
        <w:rPr>
          <w:rFonts w:ascii="Times New Roman" w:hAnsi="Times New Roman"/>
          <w:iCs/>
          <w:color w:val="000000"/>
          <w:sz w:val="12"/>
          <w:szCs w:val="12"/>
        </w:rPr>
        <w:t>může způsobit rozmazané vidění, potíže s močením, nevolnost a zvracení, úzkost a napětí, špatnou paměť, pomalé reakce, zmatenost, sníženou tělesnou hmotnost, anorexii, halucinace a v závažných případech dokonce smrt v důsledku selhání dýchání a krevního oběhu.</w:t>
      </w:r>
    </w:p>
    <w:p w:rsidR="00084EE9" w:rsidRPr="00196311" w:rsidRDefault="00084EE9" w:rsidP="00084EE9">
      <w:pPr>
        <w:autoSpaceDE w:val="0"/>
        <w:autoSpaceDN w:val="0"/>
        <w:adjustRightInd w:val="0"/>
        <w:spacing w:beforeLines="10" w:before="24" w:afterLines="10" w:after="24" w:line="0" w:lineRule="atLeast"/>
        <w:rPr>
          <w:rFonts w:ascii="Times New Roman" w:hAnsi="Times New Roman"/>
          <w:b/>
          <w:color w:val="FF0000"/>
          <w:sz w:val="12"/>
          <w:szCs w:val="12"/>
        </w:rPr>
      </w:pPr>
    </w:p>
    <w:p w:rsidR="00084EE9" w:rsidRPr="0083430D" w:rsidRDefault="007270C2" w:rsidP="00084EE9">
      <w:pPr>
        <w:autoSpaceDE w:val="0"/>
        <w:autoSpaceDN w:val="0"/>
        <w:adjustRightInd w:val="0"/>
        <w:spacing w:beforeLines="10" w:before="24" w:afterLines="10" w:after="24" w:line="0" w:lineRule="atLeast"/>
        <w:rPr>
          <w:rFonts w:ascii="Times New Roman" w:hAnsi="Times New Roman"/>
          <w:b/>
          <w:sz w:val="12"/>
          <w:szCs w:val="12"/>
        </w:rPr>
      </w:pPr>
      <w:r w:rsidRPr="0083430D">
        <w:rPr>
          <w:rFonts w:ascii="Times New Roman" w:hAnsi="Times New Roman"/>
          <w:b/>
          <w:sz w:val="12"/>
          <w:szCs w:val="12"/>
        </w:rPr>
        <w:t>BENZODIAZEPINY (BZO)</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83430D">
        <w:rPr>
          <w:rFonts w:ascii="Times New Roman" w:hAnsi="Times New Roman"/>
          <w:sz w:val="12"/>
          <w:szCs w:val="12"/>
        </w:rPr>
        <w:t xml:space="preserve">Benzodiazepiny jsou léky, které se často předepisují k symptomatické léčbě úzkosti a poruch spánku. Působí prostřednictvím specifických receptorů, na které působí neurochemická látka zvaná kyselina gama-aminomáselná (GABA). Vzhledem k tomu, že jsou bezpečnější a účinnější, nahradily benzodiazepiny barbituráty v léčbě úzkosti i nespavosti. Benzodiazepiny se také používají jako sedativa před některými chirurgickými a lékařskými zákroky a k léčbě záchvatových poruch a abstinenčních příznaků při odvykání od alkoholu. Riziko fyzické závislosti se zvyšuje, pokud se benzodiazepiny užívají pravidelně (např. denně) po dobu delší než několik měsíců, zejména v dávkách vyšších než je obvyklé. Náhlé vysazení může vyvolat příznaky, jako jsou poruchy spánku, gastrointestinální potíže, nevolnost, ztráta chuti k jídlu, pocení, třes, slabost, úzkost a změny vnímání. Pouze stopové množství (méně než 1 %) většiny benzodiazepinů se vylučuje v nezměněné formě močí; většina koncentrace v moči tvoří konjugované léky. Doba detekce </w:t>
      </w:r>
      <w:r w:rsidRPr="00060D89">
        <w:rPr>
          <w:rFonts w:ascii="Times New Roman" w:hAnsi="Times New Roman"/>
          <w:color w:val="000000"/>
          <w:sz w:val="12"/>
          <w:szCs w:val="12"/>
        </w:rPr>
        <w:t>benzodiazepinů v moči je 3–7 dní.</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Parametr v testu je určen k detekci benzodiazepinů ve vzorku moči v koncentraci 300 ng/ml, 200 ng/ml, aby pomohl při diagnostice předávkování benzodiazepiny v klinickém/nemocničním prostředí a umožnil následnou léčbu, protože předávkování benzodiazepiny může v různé míře způsobit inhibici centrálního nervového systému s mírnými projevy ospalosti, dysartrie, letargie, zmatenosti myšlení atd. Mezi závažné projevy patří dyskineze, hypotonie, hypotenze, respirační deprese, deprese kardiovaskulárního systému, kóma a smrt.</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color w:val="000000"/>
          <w:sz w:val="12"/>
          <w:szCs w:val="12"/>
        </w:rPr>
      </w:pPr>
    </w:p>
    <w:p w:rsidR="00084EE9" w:rsidRPr="0083430D" w:rsidRDefault="007270C2" w:rsidP="00084EE9">
      <w:pPr>
        <w:autoSpaceDE w:val="0"/>
        <w:autoSpaceDN w:val="0"/>
        <w:adjustRightInd w:val="0"/>
        <w:spacing w:beforeLines="10" w:before="24" w:afterLines="10" w:after="24" w:line="0" w:lineRule="atLeast"/>
        <w:rPr>
          <w:rFonts w:ascii="Times New Roman" w:hAnsi="Times New Roman"/>
          <w:b/>
          <w:sz w:val="12"/>
          <w:szCs w:val="12"/>
        </w:rPr>
      </w:pPr>
      <w:r w:rsidRPr="0083430D">
        <w:rPr>
          <w:rFonts w:ascii="Times New Roman" w:hAnsi="Times New Roman"/>
          <w:b/>
          <w:sz w:val="12"/>
          <w:szCs w:val="12"/>
        </w:rPr>
        <w:t>KOKAIN (COC)</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83430D">
        <w:rPr>
          <w:rFonts w:ascii="Times New Roman" w:hAnsi="Times New Roman"/>
          <w:sz w:val="12"/>
          <w:szCs w:val="12"/>
        </w:rPr>
        <w:t xml:space="preserve">Kokain je silný stimulant centrálního nervového systému (CNS) a lokální anestetikum. Kokain se </w:t>
      </w:r>
      <w:r w:rsidRPr="0083430D">
        <w:rPr>
          <w:rFonts w:ascii="Times New Roman" w:hAnsi="Times New Roman"/>
          <w:sz w:val="12"/>
          <w:szCs w:val="12"/>
        </w:rPr>
        <w:lastRenderedPageBreak/>
        <w:t>často užívá formou nosní inhalace, intravenózní injekce a kouření ve formě volné báze. Vylučuje se močí v krátké době, především jako benzoylecgonin.</w:t>
      </w:r>
      <w:r w:rsidRPr="0083430D">
        <w:rPr>
          <w:rFonts w:ascii="Times New Roman" w:hAnsi="Times New Roman"/>
          <w:sz w:val="12"/>
          <w:szCs w:val="12"/>
          <w:vertAlign w:val="superscript"/>
        </w:rPr>
        <w:t>1.2</w:t>
      </w:r>
      <w:r w:rsidRPr="0083430D">
        <w:rPr>
          <w:rFonts w:ascii="Times New Roman" w:hAnsi="Times New Roman"/>
          <w:sz w:val="12"/>
          <w:szCs w:val="12"/>
        </w:rPr>
        <w:t xml:space="preserve">  Benzoylecgonin, hlavní metabolit </w:t>
      </w:r>
      <w:r w:rsidRPr="00060D89">
        <w:rPr>
          <w:rFonts w:ascii="Times New Roman" w:hAnsi="Times New Roman"/>
          <w:color w:val="000000"/>
          <w:sz w:val="12"/>
          <w:szCs w:val="12"/>
        </w:rPr>
        <w:t>kokainu, má delší biologický poločas (5–8 hodin) než kokain (0,5–1,5 hodiny) a lze jej obecně detekovat po dobu 24–48 hodin po expozici kokainu.</w:t>
      </w:r>
      <w:r w:rsidRPr="00060D89">
        <w:rPr>
          <w:rFonts w:ascii="Times New Roman" w:hAnsi="Times New Roman"/>
          <w:color w:val="000000"/>
          <w:sz w:val="12"/>
          <w:szCs w:val="12"/>
          <w:vertAlign w:val="superscript"/>
        </w:rPr>
        <w:t>2</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iCs/>
          <w:color w:val="000000"/>
          <w:sz w:val="12"/>
          <w:szCs w:val="12"/>
        </w:rPr>
      </w:pPr>
      <w:r w:rsidRPr="00060D89">
        <w:rPr>
          <w:rFonts w:ascii="Times New Roman" w:hAnsi="Times New Roman"/>
          <w:iCs/>
          <w:color w:val="000000"/>
          <w:sz w:val="12"/>
          <w:szCs w:val="12"/>
        </w:rPr>
        <w:t xml:space="preserve">Parametr v testu je určen k detekci </w:t>
      </w:r>
      <w:r w:rsidRPr="00060D89">
        <w:rPr>
          <w:rFonts w:ascii="Times New Roman" w:hAnsi="Times New Roman"/>
          <w:color w:val="000000"/>
          <w:sz w:val="12"/>
          <w:szCs w:val="12"/>
        </w:rPr>
        <w:t xml:space="preserve">kokainu </w:t>
      </w:r>
      <w:r w:rsidRPr="00060D89">
        <w:rPr>
          <w:rFonts w:ascii="Times New Roman" w:hAnsi="Times New Roman"/>
          <w:iCs/>
          <w:color w:val="000000"/>
          <w:sz w:val="12"/>
          <w:szCs w:val="12"/>
        </w:rPr>
        <w:t xml:space="preserve">v moči v koncentraci 300 ng/ml a 150 ng/ml, aby pomohl při diagnostice předávkování </w:t>
      </w:r>
      <w:r w:rsidRPr="00060D89">
        <w:rPr>
          <w:rFonts w:ascii="Times New Roman" w:hAnsi="Times New Roman"/>
          <w:color w:val="000000"/>
          <w:sz w:val="12"/>
          <w:szCs w:val="12"/>
        </w:rPr>
        <w:t xml:space="preserve">kokainem </w:t>
      </w:r>
      <w:r w:rsidRPr="00060D89">
        <w:rPr>
          <w:rFonts w:ascii="Times New Roman" w:hAnsi="Times New Roman"/>
          <w:iCs/>
          <w:color w:val="000000"/>
          <w:sz w:val="12"/>
          <w:szCs w:val="12"/>
        </w:rPr>
        <w:t xml:space="preserve">v klinickém/nemocničním prostředí a umožnil následnou léčbu, protože předávkování </w:t>
      </w:r>
      <w:r w:rsidRPr="00060D89">
        <w:rPr>
          <w:rFonts w:ascii="Times New Roman" w:hAnsi="Times New Roman"/>
          <w:color w:val="000000"/>
          <w:sz w:val="12"/>
          <w:szCs w:val="12"/>
        </w:rPr>
        <w:t xml:space="preserve">kokainem </w:t>
      </w:r>
      <w:r w:rsidRPr="00060D89">
        <w:rPr>
          <w:rFonts w:ascii="Times New Roman" w:hAnsi="Times New Roman"/>
          <w:iCs/>
          <w:color w:val="000000"/>
          <w:sz w:val="12"/>
          <w:szCs w:val="12"/>
        </w:rPr>
        <w:t>může u pacienta způsobit zvýšení srdeční frekvence, dušnost, zvracení, křeče a další jevy. Užívání vysokých dávek může také vést ke smrti.</w:t>
      </w:r>
    </w:p>
    <w:p w:rsidR="00084EE9" w:rsidRPr="00196311" w:rsidRDefault="00084EE9" w:rsidP="00084EE9">
      <w:pPr>
        <w:autoSpaceDE w:val="0"/>
        <w:autoSpaceDN w:val="0"/>
        <w:adjustRightInd w:val="0"/>
        <w:spacing w:beforeLines="10" w:before="24" w:afterLines="10" w:after="24" w:line="0" w:lineRule="atLeast"/>
        <w:rPr>
          <w:rFonts w:ascii="Times New Roman" w:hAnsi="Times New Roman"/>
          <w:b/>
          <w:color w:val="FF0000"/>
          <w:sz w:val="12"/>
          <w:szCs w:val="12"/>
        </w:rPr>
      </w:pPr>
    </w:p>
    <w:p w:rsidR="00084EE9" w:rsidRPr="0083430D" w:rsidRDefault="007270C2" w:rsidP="00084EE9">
      <w:pPr>
        <w:autoSpaceDE w:val="0"/>
        <w:autoSpaceDN w:val="0"/>
        <w:adjustRightInd w:val="0"/>
        <w:spacing w:beforeLines="10" w:before="24" w:afterLines="10" w:after="24" w:line="0" w:lineRule="atLeast"/>
        <w:rPr>
          <w:rFonts w:ascii="Times New Roman" w:hAnsi="Times New Roman"/>
          <w:b/>
          <w:sz w:val="12"/>
          <w:szCs w:val="12"/>
        </w:rPr>
      </w:pPr>
      <w:r w:rsidRPr="0083430D">
        <w:rPr>
          <w:rFonts w:ascii="Times New Roman" w:hAnsi="Times New Roman"/>
          <w:b/>
          <w:sz w:val="12"/>
          <w:szCs w:val="12"/>
        </w:rPr>
        <w:t>KOTININ (COT)</w:t>
      </w:r>
    </w:p>
    <w:p w:rsidR="00084EE9" w:rsidRPr="0083430D" w:rsidRDefault="007270C2" w:rsidP="00084EE9">
      <w:pPr>
        <w:autoSpaceDE w:val="0"/>
        <w:autoSpaceDN w:val="0"/>
        <w:adjustRightInd w:val="0"/>
        <w:spacing w:beforeLines="10" w:before="24" w:afterLines="10" w:after="24" w:line="0" w:lineRule="atLeast"/>
        <w:rPr>
          <w:rFonts w:ascii="Times New Roman" w:hAnsi="Times New Roman"/>
          <w:sz w:val="12"/>
          <w:szCs w:val="12"/>
        </w:rPr>
      </w:pPr>
      <w:r w:rsidRPr="0083430D">
        <w:rPr>
          <w:rFonts w:ascii="Times New Roman" w:hAnsi="Times New Roman"/>
          <w:sz w:val="12"/>
          <w:szCs w:val="12"/>
        </w:rPr>
        <w:t>Kotinín je metabolit nikotinu v první fázi, toxický alkaloid, který u lidí stimuluje autonomní ganglia a centrální nervový systém. Nikotin je droga, které je vystaven prakticky každý člen společnosti kouřící tabák, ať už přímým kontaktem nebo pasivním vdechováním. Kromě tabáku je nikotin také komerčně dostupný jako účinná látka v náhradních terapiích kouření, jako jsou nikotinové žvýkačky, transdermální náplasti a nosní spreje.</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83430D">
        <w:rPr>
          <w:rFonts w:ascii="Times New Roman" w:hAnsi="Times New Roman"/>
          <w:sz w:val="12"/>
          <w:szCs w:val="12"/>
        </w:rPr>
        <w:t>V 24hodinové moči se přibližně 5 % dávky nikotinu vylučuje jako nezměněná látka, 10 % jako kotinin a 35 % jako hydroxykotinin; koncentrace ostatních metabolitů podle odhadů představují méně než 5 %.1 Ačkoli je kotinin považován za neaktivní metabolit, jeho profil vylučování je stabilnější než u nikotinu, který je do značné míry závislý na pH moči. V důsledku toho je kotinin považován za dobrý biologický marker pro stanovení užívání nikotinu. Plazmatický poločas nikotinu je přibližně 60 minut po inhalaci nebo parenterálním podání.</w:t>
      </w:r>
      <w:r w:rsidRPr="0083430D">
        <w:rPr>
          <w:rFonts w:ascii="Times New Roman" w:hAnsi="Times New Roman"/>
          <w:sz w:val="12"/>
          <w:szCs w:val="12"/>
          <w:vertAlign w:val="superscript"/>
        </w:rPr>
        <w:t>2</w:t>
      </w:r>
      <w:r w:rsidRPr="0083430D">
        <w:rPr>
          <w:rFonts w:ascii="Times New Roman" w:hAnsi="Times New Roman"/>
          <w:sz w:val="12"/>
          <w:szCs w:val="12"/>
        </w:rPr>
        <w:t xml:space="preserve">  Nikotin a kotinin jsou rychle vylučovány ledvinami; </w:t>
      </w:r>
      <w:r w:rsidRPr="00060D89">
        <w:rPr>
          <w:rFonts w:ascii="Times New Roman" w:hAnsi="Times New Roman"/>
          <w:color w:val="000000"/>
          <w:sz w:val="12"/>
          <w:szCs w:val="12"/>
        </w:rPr>
        <w:t>očekává se, že</w:t>
      </w:r>
      <w:r w:rsidRPr="0083430D">
        <w:rPr>
          <w:rFonts w:ascii="Times New Roman" w:hAnsi="Times New Roman"/>
          <w:sz w:val="12"/>
          <w:szCs w:val="12"/>
        </w:rPr>
        <w:t xml:space="preserve"> detekční okno pro kotinin v moči při </w:t>
      </w:r>
      <w:r w:rsidRPr="00060D89">
        <w:rPr>
          <w:rFonts w:ascii="Times New Roman" w:hAnsi="Times New Roman"/>
          <w:color w:val="000000"/>
          <w:sz w:val="12"/>
          <w:szCs w:val="12"/>
        </w:rPr>
        <w:t>mezní hodnotě 200 ng/ml bude trvat až 2–3 dny po užití nikotinu.</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color w:val="000000"/>
          <w:sz w:val="12"/>
          <w:szCs w:val="12"/>
        </w:rPr>
        <w:t>Parametr v testu je určen k detekci kotininu ve vzorku moči v koncentraci 200 ng/ml, aby pomohl při diagnostice předávkování nikotinem v klinickém/nemocničním prostředí a umožnil následnou léčbu, protože předávkování nikotinem může způsobit bledost, pocení, nevolnost, slinění, zvracení, průjem, bolesti hlavy, závratě, ztrátu sluchu a zraku, třes, bezvědomí, svalovou slabost, křeče, kolaps, nedostatečnou nervovou reakci a respirační selhání.</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color w:val="000000"/>
          <w:sz w:val="12"/>
          <w:szCs w:val="12"/>
        </w:rPr>
      </w:pPr>
    </w:p>
    <w:p w:rsidR="00084EE9" w:rsidRPr="0083430D" w:rsidRDefault="007270C2" w:rsidP="00084EE9">
      <w:pPr>
        <w:autoSpaceDE w:val="0"/>
        <w:autoSpaceDN w:val="0"/>
        <w:adjustRightInd w:val="0"/>
        <w:spacing w:beforeLines="10" w:before="24" w:afterLines="10" w:after="24" w:line="0" w:lineRule="atLeast"/>
        <w:rPr>
          <w:rFonts w:ascii="Times New Roman" w:hAnsi="Times New Roman"/>
          <w:b/>
          <w:sz w:val="12"/>
          <w:szCs w:val="12"/>
        </w:rPr>
      </w:pPr>
      <w:r w:rsidRPr="0083430D">
        <w:rPr>
          <w:rFonts w:ascii="Times New Roman" w:hAnsi="Times New Roman"/>
          <w:b/>
          <w:sz w:val="12"/>
          <w:szCs w:val="12"/>
        </w:rPr>
        <w:t>KLONAZEPAM (CLO)</w:t>
      </w:r>
    </w:p>
    <w:p w:rsidR="00084EE9" w:rsidRPr="0083430D" w:rsidRDefault="007270C2" w:rsidP="00084EE9">
      <w:pPr>
        <w:autoSpaceDE w:val="0"/>
        <w:autoSpaceDN w:val="0"/>
        <w:adjustRightInd w:val="0"/>
        <w:spacing w:line="0" w:lineRule="atLeast"/>
        <w:rPr>
          <w:rFonts w:ascii="Times New Roman" w:hAnsi="Times New Roman"/>
          <w:kern w:val="0"/>
          <w:sz w:val="12"/>
          <w:szCs w:val="12"/>
        </w:rPr>
      </w:pPr>
      <w:r w:rsidRPr="0083430D">
        <w:rPr>
          <w:rFonts w:ascii="Times New Roman" w:hAnsi="Times New Roman"/>
          <w:kern w:val="0"/>
          <w:sz w:val="12"/>
          <w:szCs w:val="12"/>
        </w:rPr>
        <w:t xml:space="preserve">Klonazepam (CLZ), prodávaný mimo jiné pod obchodním názvem Klonopin, je lék používaný k prevenci a léčbě </w:t>
      </w:r>
      <w:hyperlink r:id="rId9" w:tooltip="Seizures" w:history="1">
        <w:r w:rsidRPr="0083430D">
          <w:rPr>
            <w:rFonts w:ascii="Times New Roman" w:hAnsi="Times New Roman"/>
            <w:kern w:val="0"/>
            <w:sz w:val="12"/>
            <w:szCs w:val="12"/>
          </w:rPr>
          <w:t>záchvatů</w:t>
        </w:r>
      </w:hyperlink>
      <w:r w:rsidRPr="0083430D">
        <w:rPr>
          <w:rFonts w:ascii="Times New Roman" w:hAnsi="Times New Roman"/>
          <w:kern w:val="0"/>
          <w:sz w:val="12"/>
          <w:szCs w:val="12"/>
        </w:rPr>
        <w:t xml:space="preserve">, </w:t>
      </w:r>
      <w:hyperlink r:id="rId10" w:tooltip="Panic disorder" w:history="1">
        <w:r w:rsidRPr="0083430D">
          <w:rPr>
            <w:rFonts w:ascii="Times New Roman" w:hAnsi="Times New Roman"/>
            <w:kern w:val="0"/>
            <w:sz w:val="12"/>
            <w:szCs w:val="12"/>
          </w:rPr>
          <w:t>panické poruchy</w:t>
        </w:r>
      </w:hyperlink>
      <w:r w:rsidRPr="0083430D">
        <w:rPr>
          <w:rFonts w:ascii="Times New Roman" w:hAnsi="Times New Roman"/>
          <w:kern w:val="0"/>
          <w:sz w:val="12"/>
          <w:szCs w:val="12"/>
        </w:rPr>
        <w:t xml:space="preserve"> a </w:t>
      </w:r>
      <w:hyperlink r:id="rId11" w:tooltip="Movement disorder" w:history="1">
        <w:r w:rsidRPr="0083430D">
          <w:rPr>
            <w:rFonts w:ascii="Times New Roman" w:hAnsi="Times New Roman"/>
            <w:kern w:val="0"/>
            <w:sz w:val="12"/>
            <w:szCs w:val="12"/>
          </w:rPr>
          <w:t>pohybové poruchy</w:t>
        </w:r>
      </w:hyperlink>
      <w:r w:rsidRPr="0083430D">
        <w:rPr>
          <w:rFonts w:ascii="Times New Roman" w:hAnsi="Times New Roman"/>
          <w:kern w:val="0"/>
          <w:sz w:val="12"/>
          <w:szCs w:val="12"/>
        </w:rPr>
        <w:t xml:space="preserve"> známé jako </w:t>
      </w:r>
      <w:hyperlink r:id="rId12" w:tooltip="Akathisia" w:history="1">
        <w:r w:rsidRPr="0083430D">
          <w:rPr>
            <w:rFonts w:ascii="Times New Roman" w:hAnsi="Times New Roman"/>
            <w:kern w:val="0"/>
            <w:sz w:val="12"/>
            <w:szCs w:val="12"/>
          </w:rPr>
          <w:t>akatizie</w:t>
        </w:r>
      </w:hyperlink>
      <w:r w:rsidRPr="0083430D">
        <w:rPr>
          <w:rFonts w:ascii="Times New Roman" w:hAnsi="Times New Roman"/>
          <w:kern w:val="0"/>
          <w:sz w:val="12"/>
          <w:szCs w:val="12"/>
        </w:rPr>
        <w:t xml:space="preserve">. Jedná se o </w:t>
      </w:r>
      <w:hyperlink r:id="rId13" w:tooltip="Tranquilizer" w:history="1">
        <w:r w:rsidRPr="0083430D">
          <w:rPr>
            <w:rFonts w:ascii="Times New Roman" w:hAnsi="Times New Roman"/>
            <w:kern w:val="0"/>
            <w:sz w:val="12"/>
            <w:szCs w:val="12"/>
          </w:rPr>
          <w:t>sedativum</w:t>
        </w:r>
      </w:hyperlink>
      <w:r w:rsidRPr="0083430D">
        <w:rPr>
          <w:rFonts w:ascii="Times New Roman" w:hAnsi="Times New Roman"/>
          <w:kern w:val="0"/>
          <w:sz w:val="12"/>
          <w:szCs w:val="12"/>
        </w:rPr>
        <w:t xml:space="preserve"> ze skupiny </w:t>
      </w:r>
      <w:hyperlink r:id="rId14" w:tooltip="Benzodiazepine" w:history="1">
        <w:r w:rsidRPr="0083430D">
          <w:rPr>
            <w:rFonts w:ascii="Times New Roman" w:hAnsi="Times New Roman"/>
            <w:kern w:val="0"/>
            <w:sz w:val="12"/>
            <w:szCs w:val="12"/>
          </w:rPr>
          <w:t>benzodiazepinů</w:t>
        </w:r>
      </w:hyperlink>
      <w:r w:rsidRPr="0083430D">
        <w:rPr>
          <w:rFonts w:ascii="Times New Roman" w:hAnsi="Times New Roman"/>
          <w:kern w:val="0"/>
          <w:sz w:val="12"/>
          <w:szCs w:val="12"/>
        </w:rPr>
        <w:t>. Užívá se perorálně.</w:t>
      </w:r>
      <w:r w:rsidRPr="0083430D">
        <w:rPr>
          <w:rFonts w:ascii="Times New Roman" w:hAnsi="Times New Roman"/>
          <w:kern w:val="0"/>
          <w:sz w:val="12"/>
          <w:szCs w:val="12"/>
          <w:vertAlign w:val="superscript"/>
        </w:rPr>
        <w:t>1</w:t>
      </w:r>
      <w:r w:rsidRPr="0083430D">
        <w:rPr>
          <w:rFonts w:ascii="Times New Roman" w:hAnsi="Times New Roman"/>
          <w:kern w:val="0"/>
          <w:sz w:val="12"/>
          <w:szCs w:val="12"/>
        </w:rPr>
        <w:t xml:space="preserve">  Účinek se dostaví do jedné hodiny a trvá 6 až 12 hodin.</w:t>
      </w:r>
      <w:r w:rsidRPr="0083430D">
        <w:rPr>
          <w:rFonts w:ascii="Times New Roman" w:hAnsi="Times New Roman"/>
          <w:kern w:val="0"/>
          <w:sz w:val="12"/>
          <w:szCs w:val="12"/>
          <w:vertAlign w:val="superscript"/>
        </w:rPr>
        <w:t>2</w:t>
      </w:r>
    </w:p>
    <w:p w:rsidR="00084EE9" w:rsidRPr="0083430D" w:rsidRDefault="007270C2" w:rsidP="00084EE9">
      <w:pPr>
        <w:autoSpaceDE w:val="0"/>
        <w:autoSpaceDN w:val="0"/>
        <w:adjustRightInd w:val="0"/>
        <w:spacing w:line="0" w:lineRule="atLeast"/>
        <w:rPr>
          <w:rFonts w:ascii="Times New Roman" w:hAnsi="Times New Roman"/>
          <w:kern w:val="0"/>
          <w:sz w:val="12"/>
          <w:szCs w:val="12"/>
        </w:rPr>
      </w:pPr>
      <w:r w:rsidRPr="0083430D">
        <w:rPr>
          <w:rFonts w:ascii="Times New Roman" w:hAnsi="Times New Roman"/>
          <w:kern w:val="0"/>
          <w:sz w:val="12"/>
          <w:szCs w:val="12"/>
        </w:rPr>
        <w:t>Mezi běžné nežádoucí účinky patří ospalost, zhoršená koordinace a neklid.</w:t>
      </w:r>
      <w:r w:rsidRPr="0083430D">
        <w:rPr>
          <w:rFonts w:ascii="Times New Roman" w:hAnsi="Times New Roman"/>
          <w:kern w:val="0"/>
          <w:sz w:val="12"/>
          <w:szCs w:val="12"/>
          <w:vertAlign w:val="superscript"/>
        </w:rPr>
        <w:t>1</w:t>
      </w:r>
      <w:hyperlink r:id="rId15" w:tooltip="Long-term effects of benzodiazepines" w:history="1">
        <w:r w:rsidRPr="0083430D">
          <w:rPr>
            <w:rFonts w:ascii="Times New Roman" w:hAnsi="Times New Roman"/>
            <w:kern w:val="0"/>
            <w:sz w:val="12"/>
            <w:szCs w:val="12"/>
          </w:rPr>
          <w:t xml:space="preserve">  Dlouhodobé užívání</w:t>
        </w:r>
      </w:hyperlink>
      <w:r w:rsidRPr="0083430D">
        <w:rPr>
          <w:rFonts w:ascii="Times New Roman" w:hAnsi="Times New Roman"/>
          <w:kern w:val="0"/>
          <w:sz w:val="12"/>
          <w:szCs w:val="12"/>
        </w:rPr>
        <w:t xml:space="preserve"> může vést k </w:t>
      </w:r>
      <w:hyperlink r:id="rId16" w:tooltip="Drug tolerance" w:history="1">
        <w:r w:rsidRPr="0083430D">
          <w:rPr>
            <w:rFonts w:ascii="Times New Roman" w:hAnsi="Times New Roman"/>
            <w:kern w:val="0"/>
            <w:sz w:val="12"/>
            <w:szCs w:val="12"/>
          </w:rPr>
          <w:t>toleranci</w:t>
        </w:r>
      </w:hyperlink>
      <w:r w:rsidRPr="0083430D">
        <w:rPr>
          <w:rFonts w:ascii="Times New Roman" w:hAnsi="Times New Roman"/>
          <w:kern w:val="0"/>
          <w:sz w:val="12"/>
          <w:szCs w:val="12"/>
        </w:rPr>
        <w:t xml:space="preserve">, </w:t>
      </w:r>
      <w:hyperlink r:id="rId17" w:tooltip="Benzodiazepine dependence" w:history="1">
        <w:r w:rsidRPr="0083430D">
          <w:rPr>
            <w:rFonts w:ascii="Times New Roman" w:hAnsi="Times New Roman"/>
            <w:kern w:val="0"/>
            <w:sz w:val="12"/>
            <w:szCs w:val="12"/>
          </w:rPr>
          <w:t>závislosti</w:t>
        </w:r>
      </w:hyperlink>
      <w:r w:rsidRPr="0083430D">
        <w:rPr>
          <w:rFonts w:ascii="Times New Roman" w:hAnsi="Times New Roman"/>
          <w:kern w:val="0"/>
          <w:sz w:val="12"/>
          <w:szCs w:val="12"/>
        </w:rPr>
        <w:t xml:space="preserve"> a </w:t>
      </w:r>
      <w:hyperlink r:id="rId18" w:tooltip="Benzodiazepine withdrawal syndrome" w:history="1">
        <w:r w:rsidRPr="0083430D">
          <w:rPr>
            <w:rFonts w:ascii="Times New Roman" w:hAnsi="Times New Roman"/>
            <w:kern w:val="0"/>
            <w:sz w:val="12"/>
            <w:szCs w:val="12"/>
          </w:rPr>
          <w:t>abstinenčním příznakům</w:t>
        </w:r>
      </w:hyperlink>
      <w:r w:rsidRPr="0083430D">
        <w:rPr>
          <w:rFonts w:ascii="Times New Roman" w:hAnsi="Times New Roman"/>
          <w:kern w:val="0"/>
          <w:sz w:val="12"/>
          <w:szCs w:val="12"/>
        </w:rPr>
        <w:t xml:space="preserve"> v případě náhlého vysazení.</w:t>
      </w:r>
      <w:r w:rsidRPr="0083430D">
        <w:rPr>
          <w:rFonts w:ascii="Times New Roman" w:hAnsi="Times New Roman"/>
          <w:kern w:val="0"/>
          <w:sz w:val="12"/>
          <w:szCs w:val="12"/>
          <w:vertAlign w:val="superscript"/>
        </w:rPr>
        <w:t>1</w:t>
      </w:r>
      <w:r w:rsidRPr="0083430D">
        <w:rPr>
          <w:rFonts w:ascii="Times New Roman" w:hAnsi="Times New Roman"/>
          <w:kern w:val="0"/>
          <w:sz w:val="12"/>
          <w:szCs w:val="12"/>
        </w:rPr>
        <w:t xml:space="preserve">  Závislost se vyskytuje u jedné třetiny lidí, kteří užívají klonazepam déle než čtyři týdny.</w:t>
      </w:r>
      <w:r w:rsidRPr="0083430D">
        <w:rPr>
          <w:rFonts w:ascii="Times New Roman" w:hAnsi="Times New Roman"/>
          <w:kern w:val="0"/>
          <w:sz w:val="12"/>
          <w:szCs w:val="12"/>
          <w:vertAlign w:val="superscript"/>
        </w:rPr>
        <w:t>3</w:t>
      </w:r>
      <w:r w:rsidRPr="0083430D">
        <w:rPr>
          <w:rFonts w:ascii="Times New Roman" w:hAnsi="Times New Roman"/>
          <w:kern w:val="0"/>
          <w:sz w:val="12"/>
          <w:szCs w:val="12"/>
        </w:rPr>
        <w:t xml:space="preserve">  U lidí trpících depresí může zvyšovat riziko </w:t>
      </w:r>
      <w:hyperlink r:id="rId19" w:tooltip="Suicide" w:history="1">
        <w:r w:rsidRPr="0083430D">
          <w:rPr>
            <w:rFonts w:ascii="Times New Roman" w:hAnsi="Times New Roman"/>
            <w:kern w:val="0"/>
            <w:sz w:val="12"/>
            <w:szCs w:val="12"/>
          </w:rPr>
          <w:t>sebevraždy</w:t>
        </w:r>
      </w:hyperlink>
      <w:r w:rsidRPr="0083430D">
        <w:rPr>
          <w:rFonts w:ascii="Times New Roman" w:hAnsi="Times New Roman"/>
          <w:kern w:val="0"/>
          <w:sz w:val="12"/>
          <w:szCs w:val="12"/>
        </w:rPr>
        <w:t>.</w:t>
      </w:r>
      <w:r w:rsidRPr="0083430D">
        <w:rPr>
          <w:rFonts w:ascii="Times New Roman" w:hAnsi="Times New Roman"/>
          <w:kern w:val="0"/>
          <w:sz w:val="12"/>
          <w:szCs w:val="12"/>
          <w:vertAlign w:val="superscript"/>
        </w:rPr>
        <w:t>1, 4</w:t>
      </w:r>
      <w:r w:rsidRPr="0083430D">
        <w:rPr>
          <w:rFonts w:ascii="Times New Roman" w:hAnsi="Times New Roman"/>
          <w:kern w:val="0"/>
          <w:sz w:val="12"/>
          <w:szCs w:val="12"/>
        </w:rPr>
        <w:t xml:space="preserve">  Při užívání v těhotenství může poškodit plod. Vazuje se na GABAA receptory a zvyšuje účinek neurotransmiteru </w:t>
      </w:r>
      <w:hyperlink r:id="rId20" w:tooltip="Gamma-Aminobutyric acid" w:history="1">
        <w:r w:rsidRPr="0083430D">
          <w:rPr>
            <w:rFonts w:ascii="Times New Roman" w:hAnsi="Times New Roman"/>
            <w:kern w:val="0"/>
            <w:sz w:val="12"/>
            <w:szCs w:val="12"/>
          </w:rPr>
          <w:t>kyseliny gama-aminomáselné</w:t>
        </w:r>
      </w:hyperlink>
      <w:r w:rsidRPr="0083430D">
        <w:rPr>
          <w:rFonts w:ascii="Times New Roman" w:hAnsi="Times New Roman"/>
          <w:kern w:val="0"/>
          <w:sz w:val="12"/>
          <w:szCs w:val="12"/>
        </w:rPr>
        <w:t xml:space="preserve"> (GABA).</w:t>
      </w:r>
      <w:r w:rsidRPr="0083430D">
        <w:rPr>
          <w:rFonts w:ascii="Times New Roman" w:hAnsi="Times New Roman"/>
          <w:kern w:val="0"/>
          <w:sz w:val="12"/>
          <w:szCs w:val="12"/>
          <w:vertAlign w:val="superscript"/>
        </w:rPr>
        <w:t>3</w:t>
      </w:r>
    </w:p>
    <w:p w:rsidR="00084EE9" w:rsidRPr="00060D89" w:rsidRDefault="007270C2" w:rsidP="00084EE9">
      <w:pPr>
        <w:autoSpaceDE w:val="0"/>
        <w:autoSpaceDN w:val="0"/>
        <w:adjustRightInd w:val="0"/>
        <w:spacing w:line="0" w:lineRule="atLeast"/>
        <w:rPr>
          <w:rFonts w:ascii="Times New Roman" w:hAnsi="Times New Roman"/>
          <w:color w:val="000000"/>
          <w:kern w:val="0"/>
          <w:sz w:val="12"/>
          <w:szCs w:val="12"/>
        </w:rPr>
      </w:pPr>
      <w:r w:rsidRPr="0083430D">
        <w:rPr>
          <w:rFonts w:ascii="Times New Roman" w:hAnsi="Times New Roman"/>
          <w:kern w:val="0"/>
          <w:sz w:val="12"/>
          <w:szCs w:val="12"/>
        </w:rPr>
        <w:t xml:space="preserve">Jako hlavní metabolit se 7-aminoklonazepam používá ke sledování užívání mateřské látky, klonazepamu. Klonazepam, prodávaný pod názvy Klonopin a Rivotril, je dlouhodobě působící benzodiazepin s anxiolytickými, </w:t>
      </w:r>
      <w:r w:rsidRPr="00060D89">
        <w:rPr>
          <w:rFonts w:ascii="Times New Roman" w:hAnsi="Times New Roman"/>
          <w:color w:val="000000"/>
          <w:kern w:val="0"/>
          <w:sz w:val="12"/>
          <w:szCs w:val="12"/>
        </w:rPr>
        <w:t>antikonvulzivními, svalově relaxačními a hypnotickými vlastnostmi.</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iCs/>
          <w:color w:val="000000"/>
          <w:sz w:val="12"/>
          <w:szCs w:val="12"/>
        </w:rPr>
      </w:pPr>
      <w:r w:rsidRPr="00060D89">
        <w:rPr>
          <w:rFonts w:ascii="Times New Roman" w:hAnsi="Times New Roman"/>
          <w:iCs/>
          <w:color w:val="000000"/>
          <w:sz w:val="12"/>
          <w:szCs w:val="12"/>
        </w:rPr>
        <w:t xml:space="preserve">Parametr v testu je určen k detekci </w:t>
      </w:r>
      <w:r w:rsidRPr="00060D89">
        <w:rPr>
          <w:rFonts w:ascii="Times New Roman" w:hAnsi="Times New Roman"/>
          <w:color w:val="000000"/>
          <w:kern w:val="0"/>
          <w:sz w:val="12"/>
          <w:szCs w:val="12"/>
        </w:rPr>
        <w:t xml:space="preserve">klonazepamu </w:t>
      </w:r>
      <w:r w:rsidRPr="00060D89">
        <w:rPr>
          <w:rFonts w:ascii="Times New Roman" w:hAnsi="Times New Roman"/>
          <w:iCs/>
          <w:color w:val="000000"/>
          <w:sz w:val="12"/>
          <w:szCs w:val="12"/>
        </w:rPr>
        <w:t xml:space="preserve">v moči v koncentraci 500 ng/ml, aby pomohl při diagnostice předávkování </w:t>
      </w:r>
      <w:r w:rsidRPr="00060D89">
        <w:rPr>
          <w:rFonts w:ascii="Times New Roman" w:hAnsi="Times New Roman"/>
          <w:color w:val="000000"/>
          <w:kern w:val="0"/>
          <w:sz w:val="12"/>
          <w:szCs w:val="12"/>
        </w:rPr>
        <w:t xml:space="preserve">klonazepamem </w:t>
      </w:r>
      <w:r w:rsidRPr="00060D89">
        <w:rPr>
          <w:rFonts w:ascii="Times New Roman" w:hAnsi="Times New Roman"/>
          <w:iCs/>
          <w:color w:val="000000"/>
          <w:sz w:val="12"/>
          <w:szCs w:val="12"/>
        </w:rPr>
        <w:t xml:space="preserve">v klinickém/nemocničním prostředí a umožnil následnou léčbu, protože předávkování </w:t>
      </w:r>
      <w:r w:rsidRPr="00060D89">
        <w:rPr>
          <w:rFonts w:ascii="Times New Roman" w:hAnsi="Times New Roman"/>
          <w:color w:val="000000"/>
          <w:kern w:val="0"/>
          <w:sz w:val="12"/>
          <w:szCs w:val="12"/>
        </w:rPr>
        <w:t xml:space="preserve">klonazepamem </w:t>
      </w:r>
      <w:r w:rsidRPr="00060D89">
        <w:rPr>
          <w:rFonts w:ascii="Times New Roman" w:hAnsi="Times New Roman"/>
          <w:iCs/>
          <w:color w:val="000000"/>
          <w:sz w:val="12"/>
          <w:szCs w:val="12"/>
        </w:rPr>
        <w:t>může způsobit ospalost, závratě, ataxii, poruchy chování, abnormální vzrušení, neuroticismus, podrážděnost (abnormální reakce) a svalovou slabost, která v závažných případech ovlivní funkci nervového systému a dýchání, což vede k poškození mozku a snížené funkci plic</w:t>
      </w:r>
    </w:p>
    <w:p w:rsidR="00084EE9" w:rsidRPr="00196311" w:rsidRDefault="00084EE9" w:rsidP="00084EE9">
      <w:pPr>
        <w:autoSpaceDE w:val="0"/>
        <w:autoSpaceDN w:val="0"/>
        <w:adjustRightInd w:val="0"/>
        <w:spacing w:beforeLines="10" w:before="24" w:afterLines="10" w:after="24" w:line="0" w:lineRule="atLeast"/>
        <w:rPr>
          <w:rFonts w:ascii="Times New Roman" w:hAnsi="Times New Roman"/>
          <w:iCs/>
          <w:color w:val="FF0000"/>
          <w:sz w:val="12"/>
          <w:szCs w:val="12"/>
        </w:rPr>
      </w:pPr>
    </w:p>
    <w:p w:rsidR="00084EE9" w:rsidRPr="0083430D" w:rsidRDefault="007270C2" w:rsidP="00084EE9">
      <w:pPr>
        <w:autoSpaceDE w:val="0"/>
        <w:autoSpaceDN w:val="0"/>
        <w:adjustRightInd w:val="0"/>
        <w:spacing w:beforeLines="10" w:before="24" w:afterLines="10" w:after="24" w:line="0" w:lineRule="atLeast"/>
        <w:rPr>
          <w:rFonts w:ascii="Times New Roman" w:hAnsi="Times New Roman"/>
          <w:b/>
          <w:sz w:val="12"/>
          <w:szCs w:val="12"/>
        </w:rPr>
      </w:pPr>
      <w:r w:rsidRPr="0083430D">
        <w:rPr>
          <w:rFonts w:ascii="Times New Roman" w:hAnsi="Times New Roman"/>
          <w:b/>
          <w:sz w:val="12"/>
          <w:szCs w:val="12"/>
        </w:rPr>
        <w:t xml:space="preserve">MDMA (ECSTASY) </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83430D">
        <w:rPr>
          <w:rFonts w:ascii="Times New Roman" w:hAnsi="Times New Roman"/>
          <w:sz w:val="12"/>
          <w:szCs w:val="12"/>
        </w:rPr>
        <w:t xml:space="preserve">Methylendioxymetamfetamin (ecstasy) je syntetická droga poprvé syntetizovaná v roce 1914 německou farmaceutickou společností pro léčbu obezity. Uživatelé této drogy často hlásí nežádoucí účinky, jako je zvýšené svalové napětí a pocení. MDMA není jednoznačně stimulantem, ačkoli má, stejně jako amfetaminové drogy, schopnost zvyšovat krevní tlak a srdeční frekvenci. MDMA u některých uživatelů vyvolává určité změny vnímání v podobě zvýšené citlivosti na světlo, potíží se zaostřováním a rozmazaného vidění. Předpokládá se, že jeho mechanismus účinku spočívá v uvolňování neurotransmiteru serotoninu. MDMA může také uvolňovat dopamin, ačkoli obecně se má za to, že se jedná o sekundární účinek této drogy (Nichols a Oberlender, 1990). </w:t>
      </w:r>
      <w:r w:rsidRPr="00060D89">
        <w:rPr>
          <w:rFonts w:ascii="Times New Roman" w:hAnsi="Times New Roman"/>
          <w:color w:val="000000"/>
          <w:sz w:val="12"/>
          <w:szCs w:val="12"/>
        </w:rPr>
        <w:t>Nejrozšířenějším účinkem MDMA, který se vyskytuje prakticky u všech lidí, kteří užili přiměřenou dávku této drogy, bylo svírání čelistí.</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iCs/>
          <w:color w:val="000000"/>
          <w:sz w:val="12"/>
          <w:szCs w:val="12"/>
        </w:rPr>
        <w:t xml:space="preserve">Parametr v testu je určen k detekci </w:t>
      </w:r>
      <w:r w:rsidRPr="00060D89">
        <w:rPr>
          <w:rFonts w:ascii="Times New Roman" w:hAnsi="Times New Roman"/>
          <w:color w:val="000000"/>
          <w:sz w:val="12"/>
          <w:szCs w:val="12"/>
        </w:rPr>
        <w:t xml:space="preserve">MDMA </w:t>
      </w:r>
      <w:r w:rsidRPr="00060D89">
        <w:rPr>
          <w:rFonts w:ascii="Times New Roman" w:hAnsi="Times New Roman"/>
          <w:iCs/>
          <w:color w:val="000000"/>
          <w:sz w:val="12"/>
          <w:szCs w:val="12"/>
        </w:rPr>
        <w:t xml:space="preserve">v moči v koncentraci 500 ng/ml a 2 000 ng/ml, aby pomohl při diagnostice předávkování </w:t>
      </w:r>
      <w:r w:rsidRPr="00060D89">
        <w:rPr>
          <w:rFonts w:ascii="Times New Roman" w:hAnsi="Times New Roman"/>
          <w:color w:val="000000"/>
          <w:sz w:val="12"/>
          <w:szCs w:val="12"/>
        </w:rPr>
        <w:t xml:space="preserve">MDMA </w:t>
      </w:r>
      <w:r w:rsidRPr="00060D89">
        <w:rPr>
          <w:rFonts w:ascii="Times New Roman" w:hAnsi="Times New Roman"/>
          <w:iCs/>
          <w:color w:val="000000"/>
          <w:sz w:val="12"/>
          <w:szCs w:val="12"/>
        </w:rPr>
        <w:t xml:space="preserve">v klinickém/nemocničním prostředí a umožnil následnou léčbu, protože předávkování </w:t>
      </w:r>
      <w:r w:rsidRPr="00060D89">
        <w:rPr>
          <w:rFonts w:ascii="Times New Roman" w:hAnsi="Times New Roman"/>
          <w:color w:val="000000"/>
          <w:sz w:val="12"/>
          <w:szCs w:val="12"/>
        </w:rPr>
        <w:t xml:space="preserve">MDMA </w:t>
      </w:r>
      <w:r w:rsidRPr="00060D89">
        <w:rPr>
          <w:rFonts w:ascii="Times New Roman" w:hAnsi="Times New Roman"/>
          <w:iCs/>
          <w:color w:val="000000"/>
          <w:sz w:val="12"/>
          <w:szCs w:val="12"/>
        </w:rPr>
        <w:t>může způsobit závažnou neklidnost a bludy, hypertermii, záchvaty nebo křeče, arytmii nebo dokonce smrt.</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color w:val="000000"/>
          <w:sz w:val="12"/>
          <w:szCs w:val="12"/>
        </w:rPr>
      </w:pPr>
    </w:p>
    <w:p w:rsidR="00084EE9" w:rsidRPr="0083430D" w:rsidRDefault="007270C2" w:rsidP="00084EE9">
      <w:pPr>
        <w:autoSpaceDE w:val="0"/>
        <w:autoSpaceDN w:val="0"/>
        <w:adjustRightInd w:val="0"/>
        <w:spacing w:beforeLines="10" w:before="24" w:afterLines="10" w:after="24" w:line="0" w:lineRule="atLeast"/>
        <w:rPr>
          <w:rFonts w:ascii="Times New Roman" w:hAnsi="Times New Roman"/>
          <w:b/>
          <w:sz w:val="12"/>
          <w:szCs w:val="12"/>
        </w:rPr>
      </w:pPr>
      <w:r w:rsidRPr="0083430D">
        <w:rPr>
          <w:rFonts w:ascii="Times New Roman" w:hAnsi="Times New Roman"/>
          <w:b/>
          <w:sz w:val="12"/>
          <w:szCs w:val="12"/>
        </w:rPr>
        <w:t>ETHYLGLUKURONID (ETG)</w:t>
      </w:r>
    </w:p>
    <w:p w:rsidR="00084EE9" w:rsidRPr="0083430D" w:rsidRDefault="007270C2" w:rsidP="00084EE9">
      <w:pPr>
        <w:autoSpaceDE w:val="0"/>
        <w:autoSpaceDN w:val="0"/>
        <w:adjustRightInd w:val="0"/>
        <w:spacing w:beforeLines="10" w:before="24" w:afterLines="10" w:after="24" w:line="0" w:lineRule="atLeast"/>
        <w:rPr>
          <w:rFonts w:ascii="Times New Roman" w:hAnsi="Times New Roman"/>
          <w:sz w:val="12"/>
          <w:szCs w:val="12"/>
        </w:rPr>
      </w:pPr>
      <w:r w:rsidRPr="0083430D">
        <w:rPr>
          <w:rFonts w:ascii="Times New Roman" w:hAnsi="Times New Roman"/>
          <w:sz w:val="12"/>
          <w:szCs w:val="12"/>
        </w:rPr>
        <w:t xml:space="preserve">Ethylglukuronid (EtG) je přímý metabolit etanolu.  Přítomnost EtG v moči lze využít k detekci nedávné konzumace alkoholu, a to i poté, co již není možné změřit přítomnost etanolu. Přítomnost EtG v moči je tedy jednoznačným ukazatelem toho, že došlo k požití alkoholu. Tradiční laboratorní postupy obvykle měří množství alkoholu přítomného v těle. V závislosti na množství konzumovaného alkoholu tato metoda obvykle odhalí požití alkoholu v posledních několika </w:t>
      </w:r>
      <w:r w:rsidRPr="0083430D">
        <w:rPr>
          <w:rFonts w:ascii="Times New Roman" w:hAnsi="Times New Roman"/>
          <w:sz w:val="12"/>
          <w:szCs w:val="12"/>
        </w:rPr>
        <w:t>hodinách.</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83430D">
        <w:rPr>
          <w:rFonts w:ascii="Times New Roman" w:hAnsi="Times New Roman"/>
          <w:sz w:val="12"/>
          <w:szCs w:val="12"/>
        </w:rPr>
        <w:t xml:space="preserve">Naopak přítomnost EtG v moči dokazuje, že etanol byl požit v posledních třech nebo čtyřech dnech, tedy zhruba 80 hodin poté, co byl etanol v těle metabolizován. Lze tedy konstatovat, že test na alkohol v moči využívající EtG je přesnější indikátorem nedávné konzumace alkoholu než pouhé měření </w:t>
      </w:r>
      <w:r w:rsidRPr="00060D89">
        <w:rPr>
          <w:rFonts w:ascii="Times New Roman" w:hAnsi="Times New Roman"/>
          <w:color w:val="000000"/>
          <w:sz w:val="12"/>
          <w:szCs w:val="12"/>
        </w:rPr>
        <w:t>přítomnosti etanolu.</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iCs/>
          <w:color w:val="000000"/>
          <w:sz w:val="12"/>
          <w:szCs w:val="12"/>
        </w:rPr>
        <w:t xml:space="preserve">Parametr v testu je určen k detekci </w:t>
      </w:r>
      <w:r w:rsidRPr="00060D89">
        <w:rPr>
          <w:rFonts w:ascii="Times New Roman" w:hAnsi="Times New Roman"/>
          <w:color w:val="000000"/>
          <w:sz w:val="12"/>
          <w:szCs w:val="12"/>
        </w:rPr>
        <w:t xml:space="preserve">EtG </w:t>
      </w:r>
      <w:r w:rsidRPr="00060D89">
        <w:rPr>
          <w:rFonts w:ascii="Times New Roman" w:hAnsi="Times New Roman"/>
          <w:iCs/>
          <w:color w:val="000000"/>
          <w:sz w:val="12"/>
          <w:szCs w:val="12"/>
        </w:rPr>
        <w:t xml:space="preserve">ve vzorku moči v koncentraci 300 ng/ml a 500 ng/ml, aby pomohl při diagnostice předávkování </w:t>
      </w:r>
      <w:r w:rsidRPr="00060D89">
        <w:rPr>
          <w:rFonts w:ascii="Times New Roman" w:hAnsi="Times New Roman"/>
          <w:color w:val="000000"/>
          <w:sz w:val="12"/>
          <w:szCs w:val="12"/>
        </w:rPr>
        <w:t xml:space="preserve">alkoholem </w:t>
      </w:r>
      <w:r w:rsidRPr="00060D89">
        <w:rPr>
          <w:rFonts w:ascii="Times New Roman" w:hAnsi="Times New Roman"/>
          <w:iCs/>
          <w:color w:val="000000"/>
          <w:sz w:val="12"/>
          <w:szCs w:val="12"/>
        </w:rPr>
        <w:t xml:space="preserve">v klinickém/nemocničním prostředí a umožnil následnou léčbu, protože předávkování </w:t>
      </w:r>
      <w:r w:rsidRPr="00060D89">
        <w:rPr>
          <w:rFonts w:ascii="Times New Roman" w:hAnsi="Times New Roman"/>
          <w:color w:val="000000"/>
          <w:sz w:val="12"/>
          <w:szCs w:val="12"/>
        </w:rPr>
        <w:t xml:space="preserve">alkoholem </w:t>
      </w:r>
      <w:r w:rsidRPr="00060D89">
        <w:rPr>
          <w:rFonts w:ascii="Times New Roman" w:hAnsi="Times New Roman"/>
          <w:iCs/>
          <w:color w:val="000000"/>
          <w:sz w:val="12"/>
          <w:szCs w:val="12"/>
        </w:rPr>
        <w:t>může způsobit, že centrální nervový systém nejprve vyvolá excitaci a teprve poté inhibici, a těžká intoxikace může vést k respirační a srdeční depresi a smrti.</w:t>
      </w:r>
    </w:p>
    <w:p w:rsidR="00084EE9" w:rsidRDefault="00084EE9" w:rsidP="00084EE9">
      <w:pPr>
        <w:autoSpaceDE w:val="0"/>
        <w:autoSpaceDN w:val="0"/>
        <w:adjustRightInd w:val="0"/>
        <w:spacing w:beforeLines="10" w:before="24" w:afterLines="10" w:after="24" w:line="0" w:lineRule="atLeast"/>
        <w:rPr>
          <w:rFonts w:ascii="Times New Roman" w:hAnsi="Times New Roman"/>
          <w:b/>
          <w:color w:val="FF0000"/>
          <w:sz w:val="12"/>
          <w:szCs w:val="12"/>
        </w:rPr>
      </w:pPr>
    </w:p>
    <w:p w:rsidR="00084EE9" w:rsidRPr="0083430D" w:rsidRDefault="007270C2" w:rsidP="00084EE9">
      <w:pPr>
        <w:autoSpaceDE w:val="0"/>
        <w:autoSpaceDN w:val="0"/>
        <w:adjustRightInd w:val="0"/>
        <w:spacing w:beforeLines="10" w:before="24" w:afterLines="10" w:after="24" w:line="0" w:lineRule="atLeast"/>
        <w:rPr>
          <w:rFonts w:ascii="Times New Roman" w:hAnsi="Times New Roman"/>
          <w:b/>
          <w:sz w:val="12"/>
          <w:szCs w:val="12"/>
        </w:rPr>
      </w:pPr>
      <w:r w:rsidRPr="0083430D">
        <w:rPr>
          <w:rFonts w:ascii="Times New Roman" w:hAnsi="Times New Roman"/>
          <w:b/>
          <w:sz w:val="12"/>
          <w:szCs w:val="12"/>
        </w:rPr>
        <w:t>FENTANYL (FEN)</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83430D">
        <w:rPr>
          <w:rFonts w:ascii="Times New Roman" w:hAnsi="Times New Roman"/>
          <w:sz w:val="12"/>
          <w:szCs w:val="12"/>
        </w:rPr>
        <w:t xml:space="preserve">Fentanyl je syntetický opioid. Má obchodní názvy Sublimaze, Actiq, Durogestic, Fentora a další. Lék fentanyl je přibližně 100krát účinnější než morfin, přičemž 100 mikrogramů fentanylu odpovídá přibližně 10 mg morfinu nebo 75 mg meperidinu z hlediska analgetického účinku. Fentanyl je silné narkotické analgetikum s rychlým nástupem a krátkým trváním účinku. V minulosti se fentanyl používal k léčbě chronické průlomové bolesti a běžně se používá před zákroky. Nelegální užívání farmaceutických přípravků s fentanylem se poprvé objevilo v polovině 70. let. Protože účinky fentanylu trvají jen velmi krátkou dobu, je ještě návykovější než heroin. Pravidelní uživatelé se mohou velmi rychle stát závislými. Fentanyl je mnohem silnější než heroin a má tendenci vyvolávat výrazně horší respirační depresi, </w:t>
      </w:r>
      <w:r w:rsidRPr="00060D89">
        <w:rPr>
          <w:rFonts w:ascii="Times New Roman" w:hAnsi="Times New Roman"/>
          <w:color w:val="000000"/>
          <w:sz w:val="12"/>
          <w:szCs w:val="12"/>
        </w:rPr>
        <w:t>což ho pro uživatele činí poněkud nebezpečnějším než heroin. Předávkování fentanylem vedlo k úmrtím. Ve Spojených státech je fentanyl klasifikován jako kontrolovaná látka skupiny II.</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iCs/>
          <w:color w:val="000000"/>
          <w:sz w:val="12"/>
          <w:szCs w:val="12"/>
        </w:rPr>
        <w:t xml:space="preserve">Parametr v testu je určen k detekci </w:t>
      </w:r>
      <w:r w:rsidRPr="00060D89">
        <w:rPr>
          <w:rFonts w:ascii="Times New Roman" w:hAnsi="Times New Roman"/>
          <w:color w:val="000000"/>
          <w:sz w:val="12"/>
          <w:szCs w:val="12"/>
        </w:rPr>
        <w:t xml:space="preserve">fentanylu (norfentanylu) </w:t>
      </w:r>
      <w:r w:rsidRPr="00060D89">
        <w:rPr>
          <w:rFonts w:ascii="Times New Roman" w:hAnsi="Times New Roman"/>
          <w:iCs/>
          <w:color w:val="000000"/>
          <w:sz w:val="12"/>
          <w:szCs w:val="12"/>
        </w:rPr>
        <w:t xml:space="preserve">ve vzorku moči v koncentraci 300 ng/ml a 200 ng/ml (20 ng/ml a 10 ng/ml) za účelem pomoci při diagnostice předávkování </w:t>
      </w:r>
      <w:r w:rsidRPr="00060D89">
        <w:rPr>
          <w:rFonts w:ascii="Times New Roman" w:hAnsi="Times New Roman"/>
          <w:color w:val="000000"/>
          <w:sz w:val="12"/>
          <w:szCs w:val="12"/>
        </w:rPr>
        <w:t xml:space="preserve">fentanylem </w:t>
      </w:r>
      <w:r w:rsidRPr="00060D89">
        <w:rPr>
          <w:rFonts w:ascii="Times New Roman" w:hAnsi="Times New Roman"/>
          <w:iCs/>
          <w:color w:val="000000"/>
          <w:sz w:val="12"/>
          <w:szCs w:val="12"/>
        </w:rPr>
        <w:t xml:space="preserve">v klinickém/nemocničním prostředí a řízení následné léčby, protože předávkování </w:t>
      </w:r>
      <w:r w:rsidRPr="00060D89">
        <w:rPr>
          <w:rFonts w:ascii="Times New Roman" w:hAnsi="Times New Roman"/>
          <w:color w:val="000000"/>
          <w:sz w:val="12"/>
          <w:szCs w:val="12"/>
        </w:rPr>
        <w:t xml:space="preserve">fentanylem </w:t>
      </w:r>
      <w:r w:rsidRPr="00060D89">
        <w:rPr>
          <w:rFonts w:ascii="Times New Roman" w:hAnsi="Times New Roman"/>
          <w:iCs/>
          <w:color w:val="000000"/>
          <w:sz w:val="12"/>
          <w:szCs w:val="12"/>
        </w:rPr>
        <w:t>může způsobit respirační depresi, která v závažných případech může vést k úmrtí.</w:t>
      </w:r>
    </w:p>
    <w:p w:rsidR="00084EE9" w:rsidRPr="00196311" w:rsidRDefault="00084EE9" w:rsidP="00084EE9">
      <w:pPr>
        <w:autoSpaceDE w:val="0"/>
        <w:autoSpaceDN w:val="0"/>
        <w:adjustRightInd w:val="0"/>
        <w:spacing w:beforeLines="10" w:before="24" w:afterLines="10" w:after="24" w:line="0" w:lineRule="atLeast"/>
        <w:rPr>
          <w:rFonts w:ascii="Times New Roman" w:hAnsi="Times New Roman"/>
          <w:b/>
          <w:color w:val="FF0000"/>
          <w:sz w:val="12"/>
          <w:szCs w:val="12"/>
        </w:rPr>
      </w:pPr>
    </w:p>
    <w:p w:rsidR="00084EE9" w:rsidRPr="0083430D" w:rsidRDefault="007270C2" w:rsidP="00084EE9">
      <w:pPr>
        <w:autoSpaceDE w:val="0"/>
        <w:autoSpaceDN w:val="0"/>
        <w:adjustRightInd w:val="0"/>
        <w:spacing w:beforeLines="10" w:before="24" w:afterLines="10" w:after="24" w:line="0" w:lineRule="atLeast"/>
        <w:rPr>
          <w:rFonts w:ascii="Times New Roman" w:hAnsi="Times New Roman"/>
          <w:b/>
          <w:sz w:val="12"/>
          <w:szCs w:val="12"/>
        </w:rPr>
      </w:pPr>
      <w:r w:rsidRPr="0083430D">
        <w:rPr>
          <w:rFonts w:ascii="Times New Roman" w:hAnsi="Times New Roman"/>
          <w:b/>
          <w:sz w:val="12"/>
          <w:szCs w:val="12"/>
        </w:rPr>
        <w:t>GABAPENTIN (GAB)</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83430D">
        <w:rPr>
          <w:rFonts w:ascii="Times New Roman" w:hAnsi="Times New Roman"/>
          <w:sz w:val="12"/>
          <w:szCs w:val="12"/>
        </w:rPr>
        <w:t xml:space="preserve">Gabapentin je antiepileptikum, nazývané také antikonvulzivum. Působí na chemické látky a nervy v těle, které se podílejí na vzniku záchvatů a některých typů bolesti. Gabapentin se u dospělých používá k léčbě neuropatické bolesti (bolesti nervů) způsobené herpes virem nebo pásovým oparem (herpes zoster). V případě epilepsie může být použit u pacientů s parciálními záchvaty. Je doporučován jako jeden z řady léků první volby pro léčbu neuropatické bolesti u diabetické neuropatie, postherpetické neuralgie a centrální neuropatické bolesti. Mezi běžné nežádoucí účinky patří ospalost a závratě. Mezi závažné nežádoucí účinky může patřit zvýšené riziko sebevraždy, agresivní chování a léková </w:t>
      </w:r>
      <w:r w:rsidRPr="00060D89">
        <w:rPr>
          <w:rFonts w:ascii="Times New Roman" w:hAnsi="Times New Roman"/>
          <w:color w:val="000000"/>
          <w:sz w:val="12"/>
          <w:szCs w:val="12"/>
        </w:rPr>
        <w:t>reakce s eozinofilií a systémovými příznaky.</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iCs/>
          <w:color w:val="000000"/>
          <w:sz w:val="12"/>
          <w:szCs w:val="12"/>
        </w:rPr>
        <w:t xml:space="preserve">Parametr v testu je určen k detekci </w:t>
      </w:r>
      <w:r w:rsidRPr="00060D89">
        <w:rPr>
          <w:rFonts w:ascii="Times New Roman" w:hAnsi="Times New Roman"/>
          <w:color w:val="000000"/>
          <w:sz w:val="12"/>
          <w:szCs w:val="12"/>
        </w:rPr>
        <w:t xml:space="preserve">gabapentinu </w:t>
      </w:r>
      <w:r w:rsidRPr="00060D89">
        <w:rPr>
          <w:rFonts w:ascii="Times New Roman" w:hAnsi="Times New Roman"/>
          <w:iCs/>
          <w:color w:val="000000"/>
          <w:sz w:val="12"/>
          <w:szCs w:val="12"/>
        </w:rPr>
        <w:t xml:space="preserve">v moči v koncentraci 1 000 ng/ml, aby pomohl při diagnostice předávkování </w:t>
      </w:r>
      <w:r w:rsidRPr="00060D89">
        <w:rPr>
          <w:rFonts w:ascii="Times New Roman" w:hAnsi="Times New Roman"/>
          <w:color w:val="000000"/>
          <w:sz w:val="12"/>
          <w:szCs w:val="12"/>
        </w:rPr>
        <w:t xml:space="preserve">gabapentinem </w:t>
      </w:r>
      <w:r w:rsidRPr="00060D89">
        <w:rPr>
          <w:rFonts w:ascii="Times New Roman" w:hAnsi="Times New Roman"/>
          <w:iCs/>
          <w:color w:val="000000"/>
          <w:sz w:val="12"/>
          <w:szCs w:val="12"/>
        </w:rPr>
        <w:t xml:space="preserve">v klinickém/nemocničním prostředí a umožnil následnou léčbu, protože předávkování </w:t>
      </w:r>
      <w:r w:rsidRPr="00060D89">
        <w:rPr>
          <w:rFonts w:ascii="Times New Roman" w:hAnsi="Times New Roman"/>
          <w:color w:val="000000"/>
          <w:sz w:val="12"/>
          <w:szCs w:val="12"/>
        </w:rPr>
        <w:t xml:space="preserve">gabapentinem </w:t>
      </w:r>
      <w:r w:rsidRPr="00060D89">
        <w:rPr>
          <w:rFonts w:ascii="Times New Roman" w:hAnsi="Times New Roman"/>
          <w:iCs/>
          <w:color w:val="000000"/>
          <w:sz w:val="12"/>
          <w:szCs w:val="12"/>
        </w:rPr>
        <w:t>může způsobit ospalost, nevolnost a zvracení, ataxii, poškození jater a ledvin.</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b/>
          <w:color w:val="000000"/>
          <w:sz w:val="12"/>
          <w:szCs w:val="12"/>
        </w:rPr>
        <w:t>HYDROKODON (HCD)</w:t>
      </w:r>
    </w:p>
    <w:p w:rsidR="00084EE9" w:rsidRPr="0083430D" w:rsidRDefault="007270C2" w:rsidP="00084EE9">
      <w:pPr>
        <w:autoSpaceDE w:val="0"/>
        <w:autoSpaceDN w:val="0"/>
        <w:adjustRightInd w:val="0"/>
        <w:spacing w:beforeLines="10" w:before="24" w:afterLines="10" w:after="24" w:line="0" w:lineRule="atLeast"/>
        <w:rPr>
          <w:rFonts w:ascii="Times New Roman" w:hAnsi="Times New Roman"/>
          <w:sz w:val="12"/>
          <w:szCs w:val="12"/>
        </w:rPr>
      </w:pPr>
      <w:r w:rsidRPr="0083430D">
        <w:rPr>
          <w:rFonts w:ascii="Times New Roman" w:hAnsi="Times New Roman"/>
          <w:sz w:val="12"/>
          <w:szCs w:val="12"/>
        </w:rPr>
        <w:t>Hydrokodon se používá k léčbě středně silné až silné bolesti, ačkoli se často předepisuje i k léčbě mírné bolesti. V tekutých přípravcích se používá jako antitusikum k léčbě kašle. V jedné studii srovnávající účinnost hydrokodonu s účinností oxykodonu bylo zjištěno, že k dosažení stejného stupně miózy (zúžení zornic) bylo zapotřebí o 50 % více hydrokodonu. Výzkumníci to interpretovali tak, že oxykodon je asi o 50 % účinnější než hydrokodon.</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Ve studii pacientů s frakturami na pohotovosti se však zjistilo, že stejné množství obou léků poskytlo přibližně stejný stupeň úlevy od bolesti, což naznačuje, že při použití k tomuto účelu mezi nimi není prakticky žádný rozdíl. Některé zdroje uvádějí, že analgetický účinek hydrokodonu nastupuje za 20–30 minut a trvá přibližně 4–8 hodin. Informace výrobce uvádějí, že nástup účinku je přibližně 10–30 minut a trvání je přibližně 4–6 hodin. Doporučený interval dávkování je 4–6 hodin.</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iCs/>
          <w:color w:val="000000"/>
          <w:sz w:val="12"/>
          <w:szCs w:val="12"/>
        </w:rPr>
      </w:pPr>
      <w:r w:rsidRPr="00060D89">
        <w:rPr>
          <w:rFonts w:ascii="Times New Roman" w:hAnsi="Times New Roman"/>
          <w:iCs/>
          <w:color w:val="000000"/>
          <w:sz w:val="12"/>
          <w:szCs w:val="12"/>
        </w:rPr>
        <w:t xml:space="preserve">Parametr v testu je určen k detekci </w:t>
      </w:r>
      <w:r w:rsidRPr="00060D89">
        <w:rPr>
          <w:rFonts w:ascii="Times New Roman" w:hAnsi="Times New Roman"/>
          <w:color w:val="000000"/>
          <w:sz w:val="12"/>
          <w:szCs w:val="12"/>
        </w:rPr>
        <w:t xml:space="preserve">hydrokodonu </w:t>
      </w:r>
      <w:r w:rsidRPr="00060D89">
        <w:rPr>
          <w:rFonts w:ascii="Times New Roman" w:hAnsi="Times New Roman"/>
          <w:iCs/>
          <w:color w:val="000000"/>
          <w:sz w:val="12"/>
          <w:szCs w:val="12"/>
        </w:rPr>
        <w:t xml:space="preserve">v moči v koncentraci 10 ng/ml, aby pomohl při diagnostice předávkování </w:t>
      </w:r>
      <w:r w:rsidRPr="00060D89">
        <w:rPr>
          <w:rFonts w:ascii="Times New Roman" w:hAnsi="Times New Roman"/>
          <w:color w:val="000000"/>
          <w:sz w:val="12"/>
          <w:szCs w:val="12"/>
        </w:rPr>
        <w:t xml:space="preserve">hydrokodonem </w:t>
      </w:r>
      <w:r w:rsidRPr="00060D89">
        <w:rPr>
          <w:rFonts w:ascii="Times New Roman" w:hAnsi="Times New Roman"/>
          <w:iCs/>
          <w:color w:val="000000"/>
          <w:sz w:val="12"/>
          <w:szCs w:val="12"/>
        </w:rPr>
        <w:t xml:space="preserve">v klinickém/nemocničním prostředí a umožnil následnou léčbu, protože předávkování </w:t>
      </w:r>
      <w:r w:rsidRPr="00060D89">
        <w:rPr>
          <w:rFonts w:ascii="Times New Roman" w:hAnsi="Times New Roman"/>
          <w:color w:val="000000"/>
          <w:sz w:val="12"/>
          <w:szCs w:val="12"/>
        </w:rPr>
        <w:t xml:space="preserve">hydrokodonem </w:t>
      </w:r>
      <w:r w:rsidRPr="00060D89">
        <w:rPr>
          <w:rFonts w:ascii="Times New Roman" w:hAnsi="Times New Roman"/>
          <w:iCs/>
          <w:color w:val="000000"/>
          <w:sz w:val="12"/>
          <w:szCs w:val="12"/>
        </w:rPr>
        <w:t>může způsobit poškození sluchu, hluchotu, bolest nosu, ucpaný nos, nekrózu nosní sliznice, plísňovou infekci a dokonce i smrt.</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b/>
          <w:color w:val="000000"/>
          <w:sz w:val="12"/>
          <w:szCs w:val="12"/>
        </w:rPr>
        <w:t>HYDROMORFON (HMO)</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Hydromorfon, známý také jako dihydromorfonon, je centrálně působící analgetikum z skupiny opioidů. Vyrábí se z morfinu. Působí tak, že mění způsob, jakým mozek a nervový systém reagují na bolest. Tablety s prodlouženým uvolňováním hydromorfonu se používají k úlevě od silné bolesti u pacientů, u nichž se předpokládá, že budou po dlouhou dobu potřebovat analgetika nepřetržitě a u nichž nelze použít jiné léky. Tablety s prodlouženým uvolňováním hydromorfonu by měly být používány pouze k léčbě osob, které jsou tolerantní (zvyklé na účinky léku) k opioidním lékům, protože tento typ léku užívají alespoň jeden týden, a neměly by být používány k léčbě mírné nebo středně silné bolesti, krátkodobé bolesti, bolesti po operaci nebo lékařském či zubním zákroku, ani bolesti, kterou lze zvládnout léky užívanými podle potřeby.</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iCs/>
          <w:color w:val="000000"/>
          <w:sz w:val="12"/>
          <w:szCs w:val="12"/>
        </w:rPr>
      </w:pPr>
      <w:r w:rsidRPr="00060D89">
        <w:rPr>
          <w:rFonts w:ascii="Times New Roman" w:hAnsi="Times New Roman"/>
          <w:iCs/>
          <w:color w:val="000000"/>
          <w:sz w:val="12"/>
          <w:szCs w:val="12"/>
        </w:rPr>
        <w:t xml:space="preserve">Parametr v testu je určen k detekci </w:t>
      </w:r>
      <w:r w:rsidRPr="00060D89">
        <w:rPr>
          <w:rFonts w:ascii="Times New Roman" w:hAnsi="Times New Roman"/>
          <w:color w:val="000000"/>
          <w:sz w:val="12"/>
          <w:szCs w:val="12"/>
        </w:rPr>
        <w:t xml:space="preserve">hydromorfonu </w:t>
      </w:r>
      <w:r w:rsidRPr="00060D89">
        <w:rPr>
          <w:rFonts w:ascii="Times New Roman" w:hAnsi="Times New Roman"/>
          <w:iCs/>
          <w:color w:val="000000"/>
          <w:sz w:val="12"/>
          <w:szCs w:val="12"/>
        </w:rPr>
        <w:t xml:space="preserve">v moči v koncentraci 300 ng/ml, aby pomohl při diagnostice předávkování </w:t>
      </w:r>
      <w:r w:rsidRPr="00060D89">
        <w:rPr>
          <w:rFonts w:ascii="Times New Roman" w:hAnsi="Times New Roman"/>
          <w:color w:val="000000"/>
          <w:sz w:val="12"/>
          <w:szCs w:val="12"/>
        </w:rPr>
        <w:t xml:space="preserve">hydromorfonem </w:t>
      </w:r>
      <w:r w:rsidRPr="00060D89">
        <w:rPr>
          <w:rFonts w:ascii="Times New Roman" w:hAnsi="Times New Roman"/>
          <w:iCs/>
          <w:color w:val="000000"/>
          <w:sz w:val="12"/>
          <w:szCs w:val="12"/>
        </w:rPr>
        <w:t xml:space="preserve">v klinickém/nemocničním prostředí a umožnil následnou léčbu, protože předávkování </w:t>
      </w:r>
      <w:r w:rsidRPr="00060D89">
        <w:rPr>
          <w:rFonts w:ascii="Times New Roman" w:hAnsi="Times New Roman"/>
          <w:color w:val="000000"/>
          <w:sz w:val="12"/>
          <w:szCs w:val="12"/>
        </w:rPr>
        <w:t xml:space="preserve">hydromorfonem </w:t>
      </w:r>
      <w:r w:rsidRPr="00060D89">
        <w:rPr>
          <w:rFonts w:ascii="Times New Roman" w:hAnsi="Times New Roman"/>
          <w:iCs/>
          <w:color w:val="000000"/>
          <w:sz w:val="12"/>
          <w:szCs w:val="12"/>
        </w:rPr>
        <w:t>může způsobit zástavu krevního oběhu, zástavu dýchání, šok a srdeční zástavu.</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b/>
          <w:color w:val="000000"/>
          <w:sz w:val="12"/>
          <w:szCs w:val="12"/>
        </w:rPr>
        <w:t>SYNTETICKÁ MARIHUANA (K2)</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 xml:space="preserve">Syntetická marihuana nebo K2 je psychoaktivní rostlinný a chemický produkt, který při konzumaci napodobuje účinky marihuany. Je nejlépe známá pod značkami K2 a Spice, které se obě staly do značné míry obecnými označeními používanými k označení jakéhokoli syntetického produktu z marihuany. Studie naznačují, že intoxikace syntetickou marihuanou je spojena s akutní psychózou, zhoršením dříve stabilních psychotických poruch a může také vyvolat chronickou (dlouhodobou) psychotickou poruchu u zranitelných jedinců, například u těch, kteří mají v rodině případy duševních onemocnění. </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 xml:space="preserve">Zvýšené hladiny metabolitů v moči se objevují během několika hodin po expozici a zůstávají detekovatelné po dobu 72 hodin po kouření (v závislosti na způsobu užití/dávce). </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Od 1. března 2011 je v USA pět kanabinoidů – JWH-018, JWH-073, CP-47, JWH-200 a kanabicyklohexanol – nelegálních, protože tyto látky mohou být extrémně škodlivé a představují tak bezprostřední ohrožení veřejné bezpečnosti. JWH-018 byl vyvinut a hodnocen v rámci základního vědeckého výzkumu za účelem studia vztahů mezi strukturou a aktivitou v souvislosti s kanabinoidními receptory. JWH-073 byl identifikován v četných bylinných produktech, jako jsou „Spice“, „K2“, „K3“ a další. Tyto produkty mohou být kouřeny pro jejich psychoaktivní účinky.</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iCs/>
          <w:color w:val="000000"/>
          <w:sz w:val="12"/>
          <w:szCs w:val="12"/>
        </w:rPr>
      </w:pPr>
      <w:r w:rsidRPr="00060D89">
        <w:rPr>
          <w:rFonts w:ascii="Times New Roman" w:hAnsi="Times New Roman"/>
          <w:iCs/>
          <w:color w:val="000000"/>
          <w:sz w:val="12"/>
          <w:szCs w:val="12"/>
        </w:rPr>
        <w:t xml:space="preserve">Parametr v testu je určen k detekci </w:t>
      </w:r>
      <w:r w:rsidRPr="00060D89">
        <w:rPr>
          <w:rFonts w:ascii="Times New Roman" w:hAnsi="Times New Roman"/>
          <w:color w:val="000000"/>
          <w:sz w:val="12"/>
          <w:szCs w:val="12"/>
        </w:rPr>
        <w:t xml:space="preserve">K2 </w:t>
      </w:r>
      <w:r w:rsidRPr="00060D89">
        <w:rPr>
          <w:rFonts w:ascii="Times New Roman" w:hAnsi="Times New Roman"/>
          <w:iCs/>
          <w:color w:val="000000"/>
          <w:sz w:val="12"/>
          <w:szCs w:val="12"/>
        </w:rPr>
        <w:t xml:space="preserve">ve vzorku moči v koncentraci 50 ng/ml a 25 ng/ml, aby pomohl při diagnostice předávkování </w:t>
      </w:r>
      <w:r w:rsidRPr="00060D89">
        <w:rPr>
          <w:rFonts w:ascii="Times New Roman" w:hAnsi="Times New Roman"/>
          <w:color w:val="000000"/>
          <w:sz w:val="12"/>
          <w:szCs w:val="12"/>
        </w:rPr>
        <w:t xml:space="preserve">K2 </w:t>
      </w:r>
      <w:r w:rsidRPr="00060D89">
        <w:rPr>
          <w:rFonts w:ascii="Times New Roman" w:hAnsi="Times New Roman"/>
          <w:iCs/>
          <w:color w:val="000000"/>
          <w:sz w:val="12"/>
          <w:szCs w:val="12"/>
        </w:rPr>
        <w:t xml:space="preserve">v klinickém/nemocničním prostředí a umožnil následnou léčbu, protože předávkování </w:t>
      </w:r>
      <w:r w:rsidRPr="00060D89">
        <w:rPr>
          <w:rFonts w:ascii="Times New Roman" w:hAnsi="Times New Roman"/>
          <w:color w:val="000000"/>
          <w:sz w:val="12"/>
          <w:szCs w:val="12"/>
        </w:rPr>
        <w:t xml:space="preserve">K2 </w:t>
      </w:r>
      <w:r w:rsidRPr="00060D89">
        <w:rPr>
          <w:rFonts w:ascii="Times New Roman" w:hAnsi="Times New Roman"/>
          <w:iCs/>
          <w:color w:val="000000"/>
          <w:sz w:val="12"/>
          <w:szCs w:val="12"/>
        </w:rPr>
        <w:t>může způsobit šok, udušení nebo dokonce náhlou smrt.</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b/>
          <w:color w:val="000000"/>
          <w:sz w:val="12"/>
          <w:szCs w:val="12"/>
        </w:rPr>
        <w:t>K3 (AB-PINACA)</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AB-Pinaca je sloučenina, která byla poprvé identifikována jako složka syntetických konopných produktů v Japonsku v roce 2012. AB-Pinaca působí jako silný agonista receptoru CB1 (Ki = 2,87 nM, EC50 = 1,2 nM) a receptoru CB2 (Ki = 0,88 nM, EC50 = 2,5 nM) a v rozlišovacích studiích na potkanech plně nahrazuje Δ9-THC, přičemž je 1,5krát účinnější.5 Bylo hlášeno několik případů úmrtí a hospitalizací v souvislosti s tímto syntetickým kanabinoidem.</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iCs/>
          <w:color w:val="000000"/>
          <w:sz w:val="12"/>
          <w:szCs w:val="12"/>
        </w:rPr>
      </w:pPr>
      <w:r w:rsidRPr="00060D89">
        <w:rPr>
          <w:rFonts w:ascii="Times New Roman" w:hAnsi="Times New Roman"/>
          <w:iCs/>
          <w:color w:val="000000"/>
          <w:sz w:val="12"/>
          <w:szCs w:val="12"/>
        </w:rPr>
        <w:t xml:space="preserve">Parametr v testu je určen k detekci </w:t>
      </w:r>
      <w:r w:rsidRPr="00060D89">
        <w:rPr>
          <w:rFonts w:ascii="Times New Roman" w:hAnsi="Times New Roman"/>
          <w:color w:val="000000"/>
          <w:sz w:val="12"/>
          <w:szCs w:val="12"/>
        </w:rPr>
        <w:t xml:space="preserve">K3 </w:t>
      </w:r>
      <w:r w:rsidRPr="00060D89">
        <w:rPr>
          <w:rFonts w:ascii="Times New Roman" w:hAnsi="Times New Roman"/>
          <w:iCs/>
          <w:color w:val="000000"/>
          <w:sz w:val="12"/>
          <w:szCs w:val="12"/>
        </w:rPr>
        <w:t xml:space="preserve">ve vzorku moči v koncentraci 10 ng/ml, aby pomohl při diagnostice předávkování </w:t>
      </w:r>
      <w:r w:rsidRPr="00060D89">
        <w:rPr>
          <w:rFonts w:ascii="Times New Roman" w:hAnsi="Times New Roman"/>
          <w:color w:val="000000"/>
          <w:sz w:val="12"/>
          <w:szCs w:val="12"/>
        </w:rPr>
        <w:t xml:space="preserve">K3 </w:t>
      </w:r>
      <w:r w:rsidRPr="00060D89">
        <w:rPr>
          <w:rFonts w:ascii="Times New Roman" w:hAnsi="Times New Roman"/>
          <w:iCs/>
          <w:color w:val="000000"/>
          <w:sz w:val="12"/>
          <w:szCs w:val="12"/>
        </w:rPr>
        <w:t xml:space="preserve">v klinickém/nemocničním prostředí a umožnil následnou léčbu, protože předávkování </w:t>
      </w:r>
      <w:r w:rsidRPr="00060D89">
        <w:rPr>
          <w:rFonts w:ascii="Times New Roman" w:hAnsi="Times New Roman"/>
          <w:color w:val="000000"/>
          <w:sz w:val="12"/>
          <w:szCs w:val="12"/>
        </w:rPr>
        <w:t xml:space="preserve">K3 </w:t>
      </w:r>
      <w:r w:rsidRPr="00060D89">
        <w:rPr>
          <w:rFonts w:ascii="Times New Roman" w:hAnsi="Times New Roman"/>
          <w:iCs/>
          <w:color w:val="000000"/>
          <w:sz w:val="12"/>
          <w:szCs w:val="12"/>
        </w:rPr>
        <w:t>může způsobit srdeční zástavu a ztrátu vědomí, stejně jako selhání některých orgánů, srdeční zástavu a smrt.</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b/>
          <w:color w:val="000000"/>
          <w:sz w:val="12"/>
          <w:szCs w:val="12"/>
        </w:rPr>
        <w:t>KETAMIN (KET)</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Ketamin je krátkodobě působící „disociativní“ anestetikum díky své schopnosti oddělit vnímání od pocitu. Má také halucinogenní a analgetické vlastnosti, které se zdají působit na lidi velmi odlišným způsobem. Ketamin je chemicky příbuzný PCP („Angel Dust“). Ketamin se občas podává lidem, ale častěji jej používají veterináři při operacích domácích zvířat. Na ulici se K nejčastěji získává v tekuté formě z veterinárních ordinací nebo od dodavatelů zdravotnických potřeb. Ketamin obvykle začne působit za 1–5 minut. Šňupání ketaminu trvá o něco déle, 5–15 minut. V závislosti na tom, kolik a kdy naposledy člověk jedl, může perorální ketamin začít působit za 5 až 30 minut. Primární účinky ketaminu trvají přibližně 30–45 minut při injekčním podání, 45–60 minut při šňupání a 1–2 hodiny při perorálním užití. Úřad pro potírání drog (Drug Enforcement Administration) uvádí, že droga může na organismus působit až 24 hodin.</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iCs/>
          <w:color w:val="000000"/>
          <w:sz w:val="12"/>
          <w:szCs w:val="12"/>
        </w:rPr>
      </w:pPr>
      <w:r w:rsidRPr="00060D89">
        <w:rPr>
          <w:rFonts w:ascii="Times New Roman" w:hAnsi="Times New Roman"/>
          <w:iCs/>
          <w:color w:val="000000"/>
          <w:sz w:val="12"/>
          <w:szCs w:val="12"/>
        </w:rPr>
        <w:t xml:space="preserve">Parametr v testu je určen k detekci </w:t>
      </w:r>
      <w:r w:rsidRPr="00060D89">
        <w:rPr>
          <w:rFonts w:ascii="Times New Roman" w:hAnsi="Times New Roman"/>
          <w:color w:val="000000"/>
          <w:sz w:val="12"/>
          <w:szCs w:val="12"/>
        </w:rPr>
        <w:t xml:space="preserve">ketaminu </w:t>
      </w:r>
      <w:r w:rsidRPr="00060D89">
        <w:rPr>
          <w:rFonts w:ascii="Times New Roman" w:hAnsi="Times New Roman"/>
          <w:iCs/>
          <w:color w:val="000000"/>
          <w:sz w:val="12"/>
          <w:szCs w:val="12"/>
        </w:rPr>
        <w:t xml:space="preserve">v moči v koncentraci 1 000 ng/ml a 100 ng/ml, aby pomohl při diagnostice předávkování </w:t>
      </w:r>
      <w:r w:rsidRPr="00060D89">
        <w:rPr>
          <w:rFonts w:ascii="Times New Roman" w:hAnsi="Times New Roman"/>
          <w:color w:val="000000"/>
          <w:sz w:val="12"/>
          <w:szCs w:val="12"/>
        </w:rPr>
        <w:t xml:space="preserve">ketaminem </w:t>
      </w:r>
      <w:r w:rsidRPr="00060D89">
        <w:rPr>
          <w:rFonts w:ascii="Times New Roman" w:hAnsi="Times New Roman"/>
          <w:iCs/>
          <w:color w:val="000000"/>
          <w:sz w:val="12"/>
          <w:szCs w:val="12"/>
        </w:rPr>
        <w:t xml:space="preserve">v klinickém/nemocničním prostředí a umožnil následnou léčbu, protože předávkování </w:t>
      </w:r>
      <w:r w:rsidRPr="00060D89">
        <w:rPr>
          <w:rFonts w:ascii="Times New Roman" w:hAnsi="Times New Roman"/>
          <w:color w:val="000000"/>
          <w:sz w:val="12"/>
          <w:szCs w:val="12"/>
        </w:rPr>
        <w:t xml:space="preserve">ketaminem </w:t>
      </w:r>
      <w:r w:rsidRPr="00060D89">
        <w:rPr>
          <w:rFonts w:ascii="Times New Roman" w:hAnsi="Times New Roman"/>
          <w:iCs/>
          <w:color w:val="000000"/>
          <w:sz w:val="12"/>
          <w:szCs w:val="12"/>
        </w:rPr>
        <w:t>může způsobit vysokou horečku, křeče, nitrolební krvácení, respirační a oběhovou depresi a dokonce i smrt.</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b/>
          <w:color w:val="000000"/>
          <w:sz w:val="12"/>
          <w:szCs w:val="12"/>
        </w:rPr>
        <w:t>KRATOM (KRA)</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Listy kratomu mají při kouření, žvýkání nebo pití ve formě suspenze narkotické účinky, což v poslední době vzbudilo značnou pozornost kvůli zvýšenému užívání v západních kulturách jako alternativní medicíny. Používá se v terapii závislosti na opiátech a při léčbě chronické bolesti. Riziko závislosti a nepříznivé zdravotní důsledky se stávají důležitým tématem pro zdravotnické úřady. Rozsáhlé užívání kratomu vede k prodlouženému spánku. Mezi abstinenční příznaky patří nepřátelství, agresivita, bolesti svalů a neschopnost pracovat.</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iCs/>
          <w:color w:val="000000"/>
          <w:sz w:val="12"/>
          <w:szCs w:val="12"/>
        </w:rPr>
      </w:pPr>
      <w:r w:rsidRPr="00060D89">
        <w:rPr>
          <w:rFonts w:ascii="Times New Roman" w:hAnsi="Times New Roman"/>
          <w:iCs/>
          <w:color w:val="000000"/>
          <w:sz w:val="12"/>
          <w:szCs w:val="12"/>
        </w:rPr>
        <w:t xml:space="preserve">Parametr v testu je určen k detekci </w:t>
      </w:r>
      <w:r w:rsidRPr="00060D89">
        <w:rPr>
          <w:rFonts w:ascii="Times New Roman" w:hAnsi="Times New Roman"/>
          <w:color w:val="000000"/>
          <w:sz w:val="12"/>
          <w:szCs w:val="12"/>
        </w:rPr>
        <w:t xml:space="preserve">kratomu </w:t>
      </w:r>
      <w:r w:rsidRPr="00060D89">
        <w:rPr>
          <w:rFonts w:ascii="Times New Roman" w:hAnsi="Times New Roman"/>
          <w:iCs/>
          <w:color w:val="000000"/>
          <w:sz w:val="12"/>
          <w:szCs w:val="12"/>
        </w:rPr>
        <w:t xml:space="preserve">v moči v koncentraci 250 ng/ml, aby pomohl při diagnostice předávkování </w:t>
      </w:r>
      <w:r w:rsidRPr="00060D89">
        <w:rPr>
          <w:rFonts w:ascii="Times New Roman" w:hAnsi="Times New Roman"/>
          <w:color w:val="000000"/>
          <w:sz w:val="12"/>
          <w:szCs w:val="12"/>
        </w:rPr>
        <w:t xml:space="preserve">kratomem </w:t>
      </w:r>
      <w:r w:rsidRPr="00060D89">
        <w:rPr>
          <w:rFonts w:ascii="Times New Roman" w:hAnsi="Times New Roman"/>
          <w:iCs/>
          <w:color w:val="000000"/>
          <w:sz w:val="12"/>
          <w:szCs w:val="12"/>
        </w:rPr>
        <w:t xml:space="preserve">v klinickém/nemocničním prostředí a umožnil následnou léčbu, protože předávkování </w:t>
      </w:r>
      <w:r w:rsidRPr="00060D89">
        <w:rPr>
          <w:rFonts w:ascii="Times New Roman" w:hAnsi="Times New Roman"/>
          <w:color w:val="000000"/>
          <w:sz w:val="12"/>
          <w:szCs w:val="12"/>
        </w:rPr>
        <w:t xml:space="preserve">kratomem </w:t>
      </w:r>
      <w:r w:rsidRPr="00060D89">
        <w:rPr>
          <w:rFonts w:ascii="Times New Roman" w:hAnsi="Times New Roman"/>
          <w:iCs/>
          <w:color w:val="000000"/>
          <w:sz w:val="12"/>
          <w:szCs w:val="12"/>
        </w:rPr>
        <w:t>může způsobit neklid, podrážděnost, tachykardii, abstinenční příznaky a dokonce i smrt.</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b/>
          <w:color w:val="000000"/>
          <w:sz w:val="12"/>
          <w:szCs w:val="12"/>
        </w:rPr>
        <w:t>DIETHYLAMID KYSELINY LYSERGOVÉ (LSD)</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Diethylamid kyseliny D-lysergové (LSD) je nejúčinnější halucinogenní látka, jakou lidstvo zná. Dávky LSD se měří v mikrogramech, tedy v miliontinách gramu. Pro srovnání, dávky kokainu a heroinu se měří v miligramech, tedy v tisícinách gramu. Ve srovnání s jinými halucinogenními látkami je LSD 100krát účinnější než psilocybin a psilocin a 4 000krát účinnější než meskalin. Za dávku, která u člověka vyvolá halucinogenní účinek, se obecně považuje 25 mikrogramů. V posledních několika letech se účinnost LSD získaného během protidrogových operací pohybovala mezi 20 a 80 mikrogramy na dávkovou jednotku. Úřad pro potírání drog (DEA) uznává 50 mikrogramů jako standardní ekvivalent dávkové jednotky.</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iCs/>
          <w:color w:val="000000"/>
          <w:sz w:val="12"/>
          <w:szCs w:val="12"/>
        </w:rPr>
      </w:pPr>
      <w:r w:rsidRPr="00060D89">
        <w:rPr>
          <w:rFonts w:ascii="Times New Roman" w:hAnsi="Times New Roman"/>
          <w:iCs/>
          <w:color w:val="000000"/>
          <w:sz w:val="12"/>
          <w:szCs w:val="12"/>
        </w:rPr>
        <w:t xml:space="preserve">Parametr v testu je určen k detekci </w:t>
      </w:r>
      <w:r w:rsidRPr="00060D89">
        <w:rPr>
          <w:rFonts w:ascii="Times New Roman" w:hAnsi="Times New Roman"/>
          <w:color w:val="000000"/>
          <w:sz w:val="12"/>
          <w:szCs w:val="12"/>
        </w:rPr>
        <w:t xml:space="preserve">LSD </w:t>
      </w:r>
      <w:r w:rsidRPr="00060D89">
        <w:rPr>
          <w:rFonts w:ascii="Times New Roman" w:hAnsi="Times New Roman"/>
          <w:iCs/>
          <w:color w:val="000000"/>
          <w:sz w:val="12"/>
          <w:szCs w:val="12"/>
        </w:rPr>
        <w:t xml:space="preserve">ve vzorku moči v koncentraci 20 ng/ml, aby pomohl při diagnostice předávkování </w:t>
      </w:r>
      <w:r w:rsidRPr="00060D89">
        <w:rPr>
          <w:rFonts w:ascii="Times New Roman" w:hAnsi="Times New Roman"/>
          <w:color w:val="000000"/>
          <w:sz w:val="12"/>
          <w:szCs w:val="12"/>
        </w:rPr>
        <w:t xml:space="preserve">LSD </w:t>
      </w:r>
      <w:r w:rsidRPr="00060D89">
        <w:rPr>
          <w:rFonts w:ascii="Times New Roman" w:hAnsi="Times New Roman"/>
          <w:iCs/>
          <w:color w:val="000000"/>
          <w:sz w:val="12"/>
          <w:szCs w:val="12"/>
        </w:rPr>
        <w:t xml:space="preserve">v klinickém/nemocničním prostředí a umožnil následnou léčbu, protože předávkování </w:t>
      </w:r>
      <w:r w:rsidRPr="00060D89">
        <w:rPr>
          <w:rFonts w:ascii="Times New Roman" w:hAnsi="Times New Roman"/>
          <w:color w:val="000000"/>
          <w:sz w:val="12"/>
          <w:szCs w:val="12"/>
        </w:rPr>
        <w:t xml:space="preserve">LSD </w:t>
      </w:r>
      <w:r w:rsidRPr="00060D89">
        <w:rPr>
          <w:rFonts w:ascii="Times New Roman" w:hAnsi="Times New Roman"/>
          <w:iCs/>
          <w:color w:val="000000"/>
          <w:sz w:val="12"/>
          <w:szCs w:val="12"/>
        </w:rPr>
        <w:t>může způsobit rozšíření zornic, hypertermii, hyperglykémii, tachykardii, hyperreflexii, fibrilaci, ataxii a spastickou paralýzu.</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b/>
          <w:color w:val="000000"/>
          <w:sz w:val="12"/>
          <w:szCs w:val="12"/>
        </w:rPr>
        <w:t>MARIHUANA (THC)</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THC (Δ</w:t>
      </w:r>
      <w:r w:rsidRPr="00060D89">
        <w:rPr>
          <w:rFonts w:ascii="Times New Roman" w:hAnsi="Times New Roman"/>
          <w:color w:val="000000"/>
          <w:sz w:val="12"/>
          <w:szCs w:val="12"/>
          <w:vertAlign w:val="superscript"/>
        </w:rPr>
        <w:t>9</w:t>
      </w:r>
      <w:r w:rsidRPr="00060D89">
        <w:rPr>
          <w:rFonts w:ascii="Times New Roman" w:hAnsi="Times New Roman"/>
          <w:color w:val="000000"/>
          <w:sz w:val="12"/>
          <w:szCs w:val="12"/>
        </w:rPr>
        <w:t xml:space="preserve"> -tetrahydrokanabinol) je primární účinná látka v kanabinoidech (marihuaně). Při kouření nebo perorálním podání vyvolává euforické účinky. U uživatelů dochází k narušení krátkodobé paměti a zpomalení učení. Mohou také zažívat přechodné epizody zmatení a úzkosti. Vrcholný účinek kouření marihuany nastává za 20–30 minut a trvá 90–120 minut po jedné cigaretě. Zvýšené hladiny metabolitů v moči se objevují během několika hodin po expozici a zůstávají detekovatelné po dobu 3–10 dnů po kouření. Hlavním metabolitem vylučovaným močí je kyselina 11-nor-Δ</w:t>
      </w:r>
      <w:r w:rsidRPr="00060D89">
        <w:rPr>
          <w:rFonts w:ascii="Times New Roman" w:hAnsi="Times New Roman"/>
          <w:color w:val="000000"/>
          <w:sz w:val="12"/>
          <w:szCs w:val="12"/>
          <w:vertAlign w:val="superscript"/>
        </w:rPr>
        <w:t>9</w:t>
      </w:r>
      <w:r w:rsidRPr="00060D89">
        <w:rPr>
          <w:rFonts w:ascii="Times New Roman" w:hAnsi="Times New Roman"/>
          <w:color w:val="000000"/>
          <w:sz w:val="12"/>
          <w:szCs w:val="12"/>
        </w:rPr>
        <w:t>-tetrahydrokanabinol-9-karboxylová (Δ</w:t>
      </w:r>
      <w:r w:rsidRPr="00060D89">
        <w:rPr>
          <w:rFonts w:ascii="Times New Roman" w:hAnsi="Times New Roman"/>
          <w:color w:val="000000"/>
          <w:sz w:val="12"/>
          <w:szCs w:val="12"/>
          <w:vertAlign w:val="superscript"/>
        </w:rPr>
        <w:t>9</w:t>
      </w:r>
      <w:r w:rsidRPr="00060D89">
        <w:rPr>
          <w:rFonts w:ascii="Times New Roman" w:hAnsi="Times New Roman"/>
          <w:color w:val="000000"/>
          <w:sz w:val="12"/>
          <w:szCs w:val="12"/>
        </w:rPr>
        <w:t>-THC-COOH).</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iCs/>
          <w:color w:val="000000"/>
          <w:sz w:val="12"/>
          <w:szCs w:val="12"/>
        </w:rPr>
      </w:pPr>
      <w:r w:rsidRPr="00060D89">
        <w:rPr>
          <w:rFonts w:ascii="Times New Roman" w:hAnsi="Times New Roman"/>
          <w:iCs/>
          <w:color w:val="000000"/>
          <w:sz w:val="12"/>
          <w:szCs w:val="12"/>
        </w:rPr>
        <w:t xml:space="preserve">Parametr v testu je určen k detekci </w:t>
      </w:r>
      <w:r w:rsidRPr="00060D89">
        <w:rPr>
          <w:rFonts w:ascii="Times New Roman" w:hAnsi="Times New Roman"/>
          <w:color w:val="000000"/>
          <w:sz w:val="12"/>
          <w:szCs w:val="12"/>
        </w:rPr>
        <w:t xml:space="preserve">THC </w:t>
      </w:r>
      <w:r w:rsidRPr="00060D89">
        <w:rPr>
          <w:rFonts w:ascii="Times New Roman" w:hAnsi="Times New Roman"/>
          <w:iCs/>
          <w:color w:val="000000"/>
          <w:sz w:val="12"/>
          <w:szCs w:val="12"/>
        </w:rPr>
        <w:t xml:space="preserve">ve vzorku moči v koncentraci 50 ng/ml a 25 ng/ml, aby pomohl při diagnostice předávkování </w:t>
      </w:r>
      <w:r w:rsidRPr="00060D89">
        <w:rPr>
          <w:rFonts w:ascii="Times New Roman" w:hAnsi="Times New Roman"/>
          <w:color w:val="000000"/>
          <w:sz w:val="12"/>
          <w:szCs w:val="12"/>
        </w:rPr>
        <w:t xml:space="preserve">THC </w:t>
      </w:r>
      <w:r w:rsidRPr="00060D89">
        <w:rPr>
          <w:rFonts w:ascii="Times New Roman" w:hAnsi="Times New Roman"/>
          <w:iCs/>
          <w:color w:val="000000"/>
          <w:sz w:val="12"/>
          <w:szCs w:val="12"/>
        </w:rPr>
        <w:t xml:space="preserve">v klinickém/nemocničním prostředí a umožnil následnou léčbu, protože předávkování </w:t>
      </w:r>
      <w:r w:rsidRPr="00060D89">
        <w:rPr>
          <w:rFonts w:ascii="Times New Roman" w:hAnsi="Times New Roman"/>
          <w:color w:val="000000"/>
          <w:sz w:val="12"/>
          <w:szCs w:val="12"/>
        </w:rPr>
        <w:t xml:space="preserve">THC </w:t>
      </w:r>
      <w:r w:rsidRPr="00060D89">
        <w:rPr>
          <w:rFonts w:ascii="Times New Roman" w:hAnsi="Times New Roman"/>
          <w:iCs/>
          <w:color w:val="000000"/>
          <w:sz w:val="12"/>
          <w:szCs w:val="12"/>
        </w:rPr>
        <w:t>může způsobit toxický akutní mozkový syndrom, akutní panickou poruchu a akutní depresivní reakci.</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b/>
          <w:color w:val="000000"/>
          <w:sz w:val="12"/>
          <w:szCs w:val="12"/>
        </w:rPr>
        <w:t>2-ethylidin-1,5-dimethyl-3,3-difenylpyrrolidin (EDDP)</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EDDP je primární metabolit metadonu. Metadon je kontrolovaná látka a používá se k detoxikaci a udržovací léčbě pacientů závislých na opiátech. Pacienti v udržovací léčbě metadonem mohou vykazovat hladiny metadonu (mateřské látky), které představují 5–50 % dávky, a 3–25 % EDDP v moči během prvních 24 hodin. Manipulaci se vzorky přidáním metadonu do moči lze zabránit. Renální clearance EDDP není ovlivněna pH moči; proto test na EDDP poskytuje přesnější výsledek ohledně požití metadonu než test na metadon. Metadon je neobvyklá droga v tom smyslu, že jeho primární metabolity v moči (EDDP a EMDP) mají cyklickou strukturu. Proto je velmi obtížné je detekovat pomocí imunotestů zaměřených na původní sloučeninu. Tento problém ještě zhoršuje skutečnost, že existuje část populace klasifikovaná jako „rozsáhlí metabolizátoři“ metadonu. U těchto jedinců nemusí vzorek moči obsahovat dostatek mateřského metadonu k získání pozitivního výsledku drogového testu, i když daný jedinec dodržuje svou metadonovou udržovací léčbu.</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iCs/>
          <w:color w:val="000000"/>
          <w:sz w:val="12"/>
          <w:szCs w:val="12"/>
        </w:rPr>
      </w:pPr>
      <w:r w:rsidRPr="00060D89">
        <w:rPr>
          <w:rFonts w:ascii="Times New Roman" w:hAnsi="Times New Roman"/>
          <w:iCs/>
          <w:color w:val="000000"/>
          <w:sz w:val="12"/>
          <w:szCs w:val="12"/>
        </w:rPr>
        <w:t xml:space="preserve">Parametr v testu je určen k detekci </w:t>
      </w:r>
      <w:r w:rsidRPr="00060D89">
        <w:rPr>
          <w:rFonts w:ascii="Times New Roman" w:hAnsi="Times New Roman"/>
          <w:color w:val="000000"/>
          <w:sz w:val="12"/>
          <w:szCs w:val="12"/>
        </w:rPr>
        <w:t xml:space="preserve">EDDP </w:t>
      </w:r>
      <w:r w:rsidRPr="00060D89">
        <w:rPr>
          <w:rFonts w:ascii="Times New Roman" w:hAnsi="Times New Roman"/>
          <w:iCs/>
          <w:color w:val="000000"/>
          <w:sz w:val="12"/>
          <w:szCs w:val="12"/>
        </w:rPr>
        <w:t xml:space="preserve">ve vzorku moči v koncentraci 300 ng/ml a 100 ng/ml, aby pomohl při diagnostice předávkování </w:t>
      </w:r>
      <w:r w:rsidRPr="00060D89">
        <w:rPr>
          <w:rFonts w:ascii="Times New Roman" w:hAnsi="Times New Roman"/>
          <w:color w:val="000000"/>
          <w:sz w:val="12"/>
          <w:szCs w:val="12"/>
        </w:rPr>
        <w:t xml:space="preserve">metadonem </w:t>
      </w:r>
      <w:r w:rsidRPr="00060D89">
        <w:rPr>
          <w:rFonts w:ascii="Times New Roman" w:hAnsi="Times New Roman"/>
          <w:iCs/>
          <w:color w:val="000000"/>
          <w:sz w:val="12"/>
          <w:szCs w:val="12"/>
        </w:rPr>
        <w:t xml:space="preserve">v klinickém/nemocničním prostředí a umožnil následnou léčbu, protože předávkování </w:t>
      </w:r>
      <w:r w:rsidRPr="00060D89">
        <w:rPr>
          <w:rFonts w:ascii="Times New Roman" w:hAnsi="Times New Roman"/>
          <w:color w:val="000000"/>
          <w:sz w:val="12"/>
          <w:szCs w:val="12"/>
        </w:rPr>
        <w:t xml:space="preserve">metadonem </w:t>
      </w:r>
      <w:r w:rsidRPr="00060D89">
        <w:rPr>
          <w:rFonts w:ascii="Times New Roman" w:hAnsi="Times New Roman"/>
          <w:iCs/>
          <w:color w:val="000000"/>
          <w:sz w:val="12"/>
          <w:szCs w:val="12"/>
        </w:rPr>
        <w:t>může způsobit svědění kůže, dysurii, sníženou sexuální touhu, respirační depresi a dokonce šok.</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b/>
          <w:color w:val="000000"/>
          <w:sz w:val="12"/>
          <w:szCs w:val="12"/>
        </w:rPr>
        <w:t>METADON (MTD)</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Metadon je narkotické analgetikum předepisované k léčbě středně silné až silné bolesti a k léčbě závislosti na morfinu (heroin, Vicodin, Percocet, morfin). Farmakologie perorálního metadonu se velmi liší od farmakologie intravenózního metadonu. Perorální metadon se částečně ukládá v játrech pro pozdější použití. Intravenózní metadon působí spíše jako heroin. Ve většině států musíte navštívit kliniku pro léčbu bolesti nebo metadonovou udržovací kliniku, abyste dostali metadon předepsán. Metadon je dlouhodobě působící analgetikum s účinkem trvajícím dvanáct až čtyřicet osm hodin. V ideálním případě metadon osvobodí klienta od tlaku spojeného se sháněním nelegálního heroinu, od nebezpečí injekčního užívání a od emocionální horské dráhy, kterou většina opiátů vyvolává. Methadon, pokud je užíván po dlouhou dobu a ve velkých dávkách, může vést k velmi dlouhému období abstinence. Abstinenční příznaky po vysazení methadonu jsou delší a obtížnější než ty vyvolané vysazením heroinu, přesto je substituce a postupné vysazování methadonu přijatelnou metodou detoxikace pro pacienty i terapeuty.</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iCs/>
          <w:color w:val="000000"/>
          <w:sz w:val="12"/>
          <w:szCs w:val="12"/>
        </w:rPr>
      </w:pPr>
      <w:r w:rsidRPr="00060D89">
        <w:rPr>
          <w:rFonts w:ascii="Times New Roman" w:hAnsi="Times New Roman"/>
          <w:iCs/>
          <w:color w:val="000000"/>
          <w:sz w:val="12"/>
          <w:szCs w:val="12"/>
        </w:rPr>
        <w:t xml:space="preserve">Parametr v testu je určen k detekci </w:t>
      </w:r>
      <w:r w:rsidRPr="00060D89">
        <w:rPr>
          <w:rFonts w:ascii="Times New Roman" w:hAnsi="Times New Roman"/>
          <w:color w:val="000000"/>
          <w:sz w:val="12"/>
          <w:szCs w:val="12"/>
        </w:rPr>
        <w:t xml:space="preserve">metadonu </w:t>
      </w:r>
      <w:r w:rsidRPr="00060D89">
        <w:rPr>
          <w:rFonts w:ascii="Times New Roman" w:hAnsi="Times New Roman"/>
          <w:iCs/>
          <w:color w:val="000000"/>
          <w:sz w:val="12"/>
          <w:szCs w:val="12"/>
        </w:rPr>
        <w:t xml:space="preserve">v moči v koncentraci 300 ng/ml a 200 ng/ml, aby pomohl při diagnostice předávkování </w:t>
      </w:r>
      <w:r w:rsidRPr="00060D89">
        <w:rPr>
          <w:rFonts w:ascii="Times New Roman" w:hAnsi="Times New Roman"/>
          <w:color w:val="000000"/>
          <w:sz w:val="12"/>
          <w:szCs w:val="12"/>
        </w:rPr>
        <w:t xml:space="preserve">metadonem </w:t>
      </w:r>
      <w:r w:rsidRPr="00060D89">
        <w:rPr>
          <w:rFonts w:ascii="Times New Roman" w:hAnsi="Times New Roman"/>
          <w:iCs/>
          <w:color w:val="000000"/>
          <w:sz w:val="12"/>
          <w:szCs w:val="12"/>
        </w:rPr>
        <w:t xml:space="preserve">v klinickém/nemocničním prostředí a umožnil následnou léčbu, protože předávkování </w:t>
      </w:r>
      <w:r w:rsidRPr="00060D89">
        <w:rPr>
          <w:rFonts w:ascii="Times New Roman" w:hAnsi="Times New Roman"/>
          <w:color w:val="000000"/>
          <w:sz w:val="12"/>
          <w:szCs w:val="12"/>
        </w:rPr>
        <w:t xml:space="preserve">metadonem </w:t>
      </w:r>
      <w:r w:rsidRPr="00060D89">
        <w:rPr>
          <w:rFonts w:ascii="Times New Roman" w:hAnsi="Times New Roman"/>
          <w:iCs/>
          <w:color w:val="000000"/>
          <w:sz w:val="12"/>
          <w:szCs w:val="12"/>
        </w:rPr>
        <w:t>může způsobit respirační depresi, pokles krevního tlaku a v závažných případech dokonce šok, který může vést k úmrtí.</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b/>
          <w:color w:val="000000"/>
          <w:sz w:val="12"/>
          <w:szCs w:val="12"/>
        </w:rPr>
        <w:t>METAMFETAMIN (MET)</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 xml:space="preserve">Metamfetamin je návyková stimulační droga, která silně aktivuje určité systémy v mozku. Metamfetamin je chemicky úzce příbuzný amfetaminu, ale účinky metamfetaminu na centrální nervový systém jsou větší. Metamfetamin se vyrábí v nelegálních laboratořích a má vysoký potenciál pro zneužívání a závislost. Účinky metamfetaminu obvykle trvají 2–4 hodiny a poločas rozpadu této drogy v těle je 9–24 hodin. Metamfetamin se vylučuje močí jako amfetamin a jako oxidované a delaminované deriváty. Nicméně 10–20 % metamfetaminu se vylučuje v nezměněné formě. Přítomnost mateřské sloučeniny v moči tedy indikuje užití metamfetaminu. </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Parametr v testu je určen k detekci metamfetaminu ve vzorku moči v koncentraci 1 000 ng/ml, 500 ng/ml a 300 ng/ml, aby pomohl při diagnostice předávkování metamfetaminem v klinickém/nemocničním prostředí a umožnil následnou léčbu, protože předávkování metamfetaminem může způsobit zvýšenou stimulaci centrálního nervového systému a vyvolat euforii, bdělost, sníženou chuť k jídlu a pocit zvýšené energie a síly. Kardiovaskulární reakce na metamfetamin zahrnují zvýšený krevní tlak a srdeční arytmie. Akutnější reakce vyvolávají úzkost, paranoiu, halucinace, psychotické chování a nakonec depresi a vyčerpání.</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b/>
          <w:color w:val="000000"/>
          <w:sz w:val="12"/>
          <w:szCs w:val="12"/>
        </w:rPr>
        <w:t>METHAQUALON (MQL)</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Metakvalon (Quaalude, Sopor) je derivát chinazolinu, který byl poprvé syntetizován v roce 1951 a v roce 1956 se ukázal jako klinicky účinný sedativum a hypnotikum. Brzy si získal popularitu jako droga a v roce 1984 byl kvůli rozsáhlému zneužívání stažen z amerického trhu. Občas se s ním setkáváme v nelegální formě a v evropských zemích je k dispozici také v kombinaci s difenhydraminem (Mandrax). Metakvalon se in vivo rozsáhle metabolizuje, a to především hydroxylací na všech možných pozicích molekuly. V moči bylo identifikováno nejméně 12 metabolitů.</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iCs/>
          <w:color w:val="000000"/>
          <w:sz w:val="12"/>
          <w:szCs w:val="12"/>
        </w:rPr>
      </w:pPr>
      <w:r w:rsidRPr="00060D89">
        <w:rPr>
          <w:rFonts w:ascii="Times New Roman" w:hAnsi="Times New Roman"/>
          <w:iCs/>
          <w:color w:val="000000"/>
          <w:sz w:val="12"/>
          <w:szCs w:val="12"/>
        </w:rPr>
        <w:t xml:space="preserve">Cílem tohoto testu je detekovat </w:t>
      </w:r>
      <w:r w:rsidRPr="00060D89">
        <w:rPr>
          <w:rFonts w:ascii="Times New Roman" w:hAnsi="Times New Roman"/>
          <w:color w:val="000000"/>
          <w:sz w:val="12"/>
          <w:szCs w:val="12"/>
        </w:rPr>
        <w:t xml:space="preserve">metakvalon </w:t>
      </w:r>
      <w:r w:rsidRPr="00060D89">
        <w:rPr>
          <w:rFonts w:ascii="Times New Roman" w:hAnsi="Times New Roman"/>
          <w:iCs/>
          <w:color w:val="000000"/>
          <w:sz w:val="12"/>
          <w:szCs w:val="12"/>
        </w:rPr>
        <w:t xml:space="preserve">ve vzorku moči v koncentraci 300 ng/ml, což má napomoci při diagnostice předávkování </w:t>
      </w:r>
      <w:r w:rsidRPr="00060D89">
        <w:rPr>
          <w:rFonts w:ascii="Times New Roman" w:hAnsi="Times New Roman"/>
          <w:color w:val="000000"/>
          <w:sz w:val="12"/>
          <w:szCs w:val="12"/>
        </w:rPr>
        <w:t xml:space="preserve">metakvalonem </w:t>
      </w:r>
      <w:r w:rsidRPr="00060D89">
        <w:rPr>
          <w:rFonts w:ascii="Times New Roman" w:hAnsi="Times New Roman"/>
          <w:iCs/>
          <w:color w:val="000000"/>
          <w:sz w:val="12"/>
          <w:szCs w:val="12"/>
        </w:rPr>
        <w:t xml:space="preserve">v klinickém či nemocničním prostředí a při řízení následné léčby, jelikož předávkování </w:t>
      </w:r>
      <w:r w:rsidRPr="00060D89">
        <w:rPr>
          <w:rFonts w:ascii="Times New Roman" w:hAnsi="Times New Roman"/>
          <w:color w:val="000000"/>
          <w:sz w:val="12"/>
          <w:szCs w:val="12"/>
        </w:rPr>
        <w:t xml:space="preserve">metakvalonem </w:t>
      </w:r>
      <w:r w:rsidRPr="00060D89">
        <w:rPr>
          <w:rFonts w:ascii="Times New Roman" w:hAnsi="Times New Roman"/>
          <w:iCs/>
          <w:color w:val="000000"/>
          <w:sz w:val="12"/>
          <w:szCs w:val="12"/>
        </w:rPr>
        <w:t>může způsobit kóma, křeče, papilární edém, tachykardii, akutní srdeční selhání, respirační depresi a sklon ke krvácení.</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b/>
          <w:color w:val="000000"/>
          <w:sz w:val="12"/>
          <w:szCs w:val="12"/>
        </w:rPr>
        <w:t>METHKATINON (MTC)</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Cs/>
          <w:color w:val="000000"/>
          <w:sz w:val="12"/>
          <w:szCs w:val="12"/>
        </w:rPr>
      </w:pPr>
      <w:r w:rsidRPr="00060D89">
        <w:rPr>
          <w:rFonts w:ascii="Times New Roman" w:hAnsi="Times New Roman"/>
          <w:bCs/>
          <w:color w:val="000000"/>
          <w:sz w:val="12"/>
          <w:szCs w:val="12"/>
        </w:rPr>
        <w:t>Metkatinon, běžně známý jako „zombie droga“, je látka podobná amfetaminu. Vyskytuje se ve formě prášku nebo kapaliny smíchané s vodou a má stimulační účinek podobný amfetaminům. Studie prokázaly, že metkatinon může způsobit akutní zdravotní problémy a závislost na drogách.  </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Cs/>
          <w:color w:val="000000"/>
          <w:sz w:val="12"/>
          <w:szCs w:val="12"/>
        </w:rPr>
      </w:pPr>
      <w:r w:rsidRPr="00060D89">
        <w:rPr>
          <w:rFonts w:ascii="Times New Roman" w:hAnsi="Times New Roman"/>
          <w:bCs/>
          <w:color w:val="000000"/>
          <w:sz w:val="12"/>
          <w:szCs w:val="12"/>
        </w:rPr>
        <w:t>„Zombie droga“ je v zahraničí známá jako „koupelové soli“.  Katinony jsou považovány za syntetické drogy, příbuzné krystalickému metamfetaminu.  Ve Spojených státech došlo k řadě případů, kdy si drogově závislí lidé okusovali obličej, což se přisuzuje „koupelovým solím“, odtud pochází název „zombie droga“.</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iCs/>
          <w:color w:val="000000"/>
          <w:sz w:val="12"/>
          <w:szCs w:val="12"/>
        </w:rPr>
      </w:pPr>
      <w:r w:rsidRPr="00060D89">
        <w:rPr>
          <w:rFonts w:ascii="Times New Roman" w:hAnsi="Times New Roman"/>
          <w:iCs/>
          <w:color w:val="000000"/>
          <w:sz w:val="12"/>
          <w:szCs w:val="12"/>
        </w:rPr>
        <w:t xml:space="preserve">Parametr v testu je určen k detekci </w:t>
      </w:r>
      <w:r w:rsidRPr="00060D89">
        <w:rPr>
          <w:rFonts w:ascii="Times New Roman" w:hAnsi="Times New Roman"/>
          <w:bCs/>
          <w:color w:val="000000"/>
          <w:sz w:val="12"/>
          <w:szCs w:val="12"/>
        </w:rPr>
        <w:t xml:space="preserve">metkatinonu </w:t>
      </w:r>
      <w:r w:rsidRPr="00060D89">
        <w:rPr>
          <w:rFonts w:ascii="Times New Roman" w:hAnsi="Times New Roman"/>
          <w:iCs/>
          <w:color w:val="000000"/>
          <w:sz w:val="12"/>
          <w:szCs w:val="12"/>
        </w:rPr>
        <w:t xml:space="preserve">v moči v koncentraci 300 ng/ml, aby pomohl při diagnostice předávkování </w:t>
      </w:r>
      <w:r w:rsidRPr="00060D89">
        <w:rPr>
          <w:rFonts w:ascii="Times New Roman" w:hAnsi="Times New Roman"/>
          <w:bCs/>
          <w:color w:val="000000"/>
          <w:sz w:val="12"/>
          <w:szCs w:val="12"/>
        </w:rPr>
        <w:t xml:space="preserve">metkatinonem </w:t>
      </w:r>
      <w:r w:rsidRPr="00060D89">
        <w:rPr>
          <w:rFonts w:ascii="Times New Roman" w:hAnsi="Times New Roman"/>
          <w:iCs/>
          <w:color w:val="000000"/>
          <w:sz w:val="12"/>
          <w:szCs w:val="12"/>
        </w:rPr>
        <w:t xml:space="preserve">v klinickém/nemocničním prostředí a umožnil následnou léčbu, protože předávkování </w:t>
      </w:r>
      <w:r w:rsidRPr="00060D89">
        <w:rPr>
          <w:rFonts w:ascii="Times New Roman" w:hAnsi="Times New Roman"/>
          <w:bCs/>
          <w:color w:val="000000"/>
          <w:sz w:val="12"/>
          <w:szCs w:val="12"/>
        </w:rPr>
        <w:t xml:space="preserve">metkatinonem </w:t>
      </w:r>
      <w:r w:rsidRPr="00060D89">
        <w:rPr>
          <w:rFonts w:ascii="Times New Roman" w:hAnsi="Times New Roman"/>
          <w:iCs/>
          <w:color w:val="000000"/>
          <w:sz w:val="12"/>
          <w:szCs w:val="12"/>
        </w:rPr>
        <w:t>může způsobit bludy, úzkost, šok, nespavost, podvýživu, dehydrataci, pocení, bolesti břicha, krvácení z nosu a bolesti těla.</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Cs/>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b/>
          <w:color w:val="000000"/>
          <w:sz w:val="12"/>
          <w:szCs w:val="12"/>
        </w:rPr>
        <w:t>METHYLENEDIOXYPYROVALERON (MDPV)</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„Koupelové soli“, forma designových drog, propagované také jako „hnojivo pro rostliny“ nebo „chemikálie pro výzkum“, se prodávají hlavně v head shopech, na internetu a v dalších maloobchodních prodejnách. Designové drogy byly vyvinuty v posledních letech s cílem obejít orgány činné v trestním řízení a agentury provádějící testování na drogy a jsou propagovány jako „legální“ omamné látky. Odborný termín pro „koupelové soli“ je substituovaný katinon. Substituovaný katinon je syntetická, koncentrovaná verze stimulační chemické látky obsažené v khatu. Khat je rostlina, která se pěstuje a používá ve východní Africe a na Středním východě. Má na uživatele stimulační účinek a může být docela nebezpečná. Bílé krystaly připomínají legální koupelové soli, odtud pochází název „koupelové soli“. V letech 2009 a 2010 došlo k výraznému nárůstu zneužívání syntetického katinonu, zpočátku ve Velké Británii a zbytku Evropy, a následně v USA a Kanadě.</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MDPV, které se stalo jednou z hlavních složek „koupelových solí“ vedle dalších syntetických stimulantů, jako jsou mefedron, metylon, butylon a methedron, se začalo objevovat kolem roku 2004, kdy se stalo populární jako klubová droga, často užívaná v kombinaci s alkoholem, GHB, konopím a dalšími zneužívanými drogami kvůli svým žádoucím účinkům, jako je euforie, bdělost, upovídanost a sexuální vzrušení. V současné době neexistují žádné předepsané použití pro syntetické stimulanty.</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Ačkoli se zdá, že syntetické stimulanty působí na uživatele podobně jako amfetaminy, extáze a kokain, zprávy o agresivitě, tachykardii, paranoii a sebevraždách naznačují, že mohou být toxičtější. Tyto negativní účinky vedly k nárůstu návštěv pohotovostí a hospitalizací, závažných psychotických a násilných epizod, sebepoškozování, sebevražd a alarmujícímu nárůstu úmrtí souvisejících se zneužíváním. Americké toxikologické centrum a Národní protidrogová agentura vydaly zdravotní varování, v nichž poukazují na celostátní nárůst návštěv pohotovostí souvisejících s těmito drogami. V říjnu 2011 oznámila DEA nouzový zákaz MDPV, metylonu a mefedronu, čímž se testování na tyto látky stalo důležitějším než kdy jindy.</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Style w:val="fontstyle01"/>
        </w:rPr>
        <w:t>Parametr v testu je určen k detekci MDPV v moči v koncentraci 1 000 ng/ml, aby pomohl při diagnostice předávkování MDPV v klinickém/nemocničním prostředí a umožnil následnou léčbu, protože předávkování MDPV může způsobit halucinace, bludy, sklony k násilí a molární reakci.</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b/>
          <w:color w:val="000000"/>
          <w:sz w:val="12"/>
          <w:szCs w:val="12"/>
        </w:rPr>
        <w:t>METYLFENIDÁT (MPD)</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Methylfenidát (MPD) je psychostimulační lék schválený k léčbě ADHD neboli poruchy pozornosti s hyperaktivitou, syndromu posturální ortostatické tachykardie a narkolepsie. Methylfenidát působí primárně jako inhibitor zpětného vychytávání norepinefrinu a dopaminu. Methylfenidát je nejúčinnější při modulaci hladin dopaminu a v menší míře norepinefrinu. Podobně jako kokain se methylfenidát váže na transportéry dopaminu a norepinefrinu a blokuje je. Methylfenidát má vazebnou afinitu jak k transportérům dopaminu, tak k transportérům norepinefrinu, přičemž enantiomery dextro-methylfenidátu vykazují výraznou afinitu k transportérům norepinefrinu. Methylfenidát může také vykazovat neuroprotektivní účinek proti neurotoxickým účinkům Parkinsonovy choroby a zneužívání metamfetaminu. Methylfenidát užívaný perorálně má biologickou dostupnost 11–52 % s dobou účinku přibližně 1–4 hodiny u přípravků s okamžitým uvolňováním, 3–8 hodin u přípravků s prodlouženým uvolňováním a 8–12 hodin u přípravků s prodlouženým uvolňováním (Concerta). Poločas rozpadu methylfenidátu je 2–3 hodiny, v závislosti na jednotlivci. Maximální plazmatická koncentrace je dosažena přibližně za 2 hodiny</w:t>
      </w:r>
      <w:r w:rsidRPr="00060D89">
        <w:rPr>
          <w:rFonts w:ascii="Times New Roman" w:hAnsi="Times New Roman" w:hint="eastAsia"/>
          <w:color w:val="000000"/>
          <w:sz w:val="12"/>
          <w:szCs w:val="12"/>
        </w:rPr>
        <w:t>.</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Parametr v testu je určen k detekci methylfenidátu v moči v koncentraci 300 ng/ml, aby pomohl při diagnostice předávkování methylfenidátem v klinickém/nemocničním prostředí a umožnil následnou léčbu, protože předávkování methylfenidátem může způsobit ztrátu chuti k jídlu, bolesti hlavy, závratě a nevolnost a může také způsobit nespavost a bolesti břicha.</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iCs/>
          <w:color w:val="000000"/>
          <w:sz w:val="12"/>
          <w:szCs w:val="12"/>
        </w:rPr>
      </w:pPr>
      <w:r w:rsidRPr="00060D89">
        <w:rPr>
          <w:rFonts w:ascii="Times New Roman" w:hAnsi="Times New Roman"/>
          <w:b/>
          <w:iCs/>
          <w:color w:val="000000"/>
          <w:sz w:val="12"/>
          <w:szCs w:val="12"/>
        </w:rPr>
        <w:t>6-MONOACETYLMORFIN (6-MAM)</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 xml:space="preserve">6-monoacetylmorfin (6-MAM) je jedním ze tří aktivních metabolitů heroinu (diacetylmorfinu), dalšími jsou morfin a mnohem méně aktivní 3-acetylmorfin (3-ACM). 6-MAM se v těle rychle vytváří z heroinu a poté se buď metabolizuje na morfin, nebo se vylučuje močí. Jelikož 6-ACM je specifickým metabolitem heroinu, jeho přítomnost v moči potvrzuje, že heroin byl použitým opioidem. To je důležité, protože při imunologickém testu na drogy v moči se obvykle testuje </w:t>
      </w:r>
      <w:r w:rsidRPr="00060D89">
        <w:rPr>
          <w:rFonts w:ascii="Times New Roman" w:hAnsi="Times New Roman"/>
          <w:color w:val="000000"/>
          <w:sz w:val="12"/>
          <w:szCs w:val="12"/>
        </w:rPr>
        <w:t xml:space="preserve">morfin, který je metabolitem řady legálních i nelegálních opiátů/opioidů, jako je kodein, morfin sulfát a heroin. 6-MAM zůstává v moči maximálně 24 hodin, takže vzorek moči musí být odebrán brzy po posledním užití heroinu, ale přítomnost 6-MAM zaručuje, že heroin byl skutečně užit v posledních 24 hodinách. </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Parametr v testu je určen k detekci 6-MAM ve vzorku moči v koncentraci 10 ng/ml a 20 ng/ml, aby pomohl při diagnostice předávkování heroinem v klinickém/nemocničním prostředí a umožnil následnou léčbu, protože předávkování heroinem může způsobit akutní a chronické příznaky otravy různých systémů a orgánů, stejně jako řadu srdečních poškození.</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b/>
          <w:color w:val="000000"/>
          <w:sz w:val="12"/>
          <w:szCs w:val="12"/>
        </w:rPr>
        <w:t>MORFIN (MOP)</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Style w:val="fontstyle01"/>
        </w:rPr>
        <w:t>Termín „opiát“ označuje jakoukoli látku získanou z máku setého, včetně přírodních produktů, jako jsou morfin a kodein, a polosyntetických látek, jako je heroin. Termín „opioid“ je obecnější a označuje jakoukoli látku, která působí na opioidní receptory. Opioidní analgetika tvoří rozsáhlou skupinu látek, které tlumí bolest útlumem centrálního nervového systému. Vysoké dávky morfinu mohou u uživatelů vyvolat vyšší toleranci, fyziologickou závislost a mohou vést k zneužívání této látky. Morfin se vylučuje v nemetabolizované formě a je také hlavním metabolickým produktem kodeinu a heroinu. Morfin je v moči detekovatelný několik dní po podání opiátu.</w:t>
      </w:r>
      <w:r w:rsidRPr="00060D89">
        <w:rPr>
          <w:rStyle w:val="fontstyle01"/>
          <w:vertAlign w:val="superscript"/>
        </w:rPr>
        <w:t>4</w:t>
      </w:r>
      <w:r w:rsidRPr="00060D89">
        <w:rPr>
          <w:rFonts w:ascii="Times New Roman" w:hAnsi="Times New Roman"/>
          <w:color w:val="000000"/>
          <w:sz w:val="8"/>
          <w:szCs w:val="8"/>
        </w:rPr>
        <w:br/>
      </w:r>
      <w:r w:rsidRPr="00060D89">
        <w:rPr>
          <w:rStyle w:val="fontstyle01"/>
        </w:rPr>
        <w:t>Parametr v testu je určen k detekci morfinu ve vzorku moči v koncentraci 300 ng/ml a 2000 ng/ml, aby pomohl při diagnostice předávkování morfinem v klinickém/nemocničním prostředí a umožnil následnou léčbu, protože předávkování morfinem může způsobit hypoxický šok, kóma, selhání oběhu, mydriázu a smrt.</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iCs/>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iCs/>
          <w:color w:val="000000"/>
          <w:sz w:val="12"/>
          <w:szCs w:val="12"/>
        </w:rPr>
      </w:pPr>
      <w:r w:rsidRPr="00060D89">
        <w:rPr>
          <w:rFonts w:ascii="Times New Roman" w:hAnsi="Times New Roman"/>
          <w:b/>
          <w:iCs/>
          <w:color w:val="000000"/>
          <w:sz w:val="12"/>
          <w:szCs w:val="12"/>
        </w:rPr>
        <w:t>OXYKODON (OXY)</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Oxycodon, [4,5-epoxy-14-hydroxy-3-methoxy-17-methyl-morfinan-6-on, dihydrohydroxycodeinon], je polosyntetický opioidní agonista odvozený od tebainu, složky opia. Oxycodon je narkotické analgetikum zařazené do seznamu II a je široce používán v klinické medicíně.</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Farmakologie oxycodonu je ve všech ohledech podobná farmakologii morfinu, včetně rizika zneužívání a vzniku závislosti. Farmakologické účinky zahrnují analgezii, euforii, pocit uvolnění, respirační depresi, zácpu, zúžení zornic a potlačení kašle.</w:t>
      </w:r>
      <w:r w:rsidRPr="00060D89">
        <w:rPr>
          <w:rFonts w:ascii="Times New Roman" w:hAnsi="Times New Roman" w:hint="eastAsia"/>
          <w:color w:val="000000"/>
          <w:sz w:val="12"/>
          <w:szCs w:val="12"/>
        </w:rPr>
        <w:t xml:space="preserve"> </w:t>
      </w:r>
      <w:r w:rsidRPr="00060D89">
        <w:rPr>
          <w:rFonts w:ascii="Times New Roman" w:hAnsi="Times New Roman"/>
          <w:color w:val="000000"/>
          <w:sz w:val="12"/>
          <w:szCs w:val="12"/>
        </w:rPr>
        <w:t xml:space="preserve">Oxycodon je předepisován k úlevě od středně silné až silné bolesti pod obchodními názvy jako OxyContin® (s řízeným uvolňováním), OxyIR®, OxyFast® (formulace s okamžitým uvolňováním) nebo </w:t>
      </w:r>
      <w:r w:rsidRPr="00060D89">
        <w:rPr>
          <w:rStyle w:val="fontstyle01"/>
          <w:sz w:val="8"/>
          <w:szCs w:val="8"/>
        </w:rPr>
        <w:t xml:space="preserve">Percodan® </w:t>
      </w:r>
      <w:r w:rsidRPr="00060D89">
        <w:rPr>
          <w:rStyle w:val="fontstyle01"/>
        </w:rPr>
        <w:t xml:space="preserve">(aspirin) a </w:t>
      </w:r>
      <w:r w:rsidRPr="00060D89">
        <w:rPr>
          <w:rStyle w:val="fontstyle01"/>
          <w:sz w:val="8"/>
          <w:szCs w:val="8"/>
        </w:rPr>
        <w:t xml:space="preserve">Percocet® </w:t>
      </w:r>
      <w:r w:rsidRPr="00060D89">
        <w:rPr>
          <w:rStyle w:val="fontstyle01"/>
        </w:rPr>
        <w:t>(paracetamol)</w:t>
      </w:r>
      <w:r w:rsidRPr="00060D89">
        <w:rPr>
          <w:rFonts w:ascii="Times New Roman" w:hAnsi="Times New Roman"/>
          <w:color w:val="000000"/>
          <w:sz w:val="12"/>
          <w:szCs w:val="12"/>
        </w:rPr>
        <w:t>,</w:t>
      </w:r>
      <w:r w:rsidRPr="00060D89">
        <w:rPr>
          <w:rStyle w:val="fontstyle01"/>
        </w:rPr>
        <w:t xml:space="preserve"> které jsou v kombinaci s jinými nenarkotickými analgetiky. Behaviorální účinky oxykodonu mohou trvat až 5 hodin. Přípravek s řízeným uvolňováním, </w:t>
      </w:r>
      <w:r w:rsidRPr="00060D89">
        <w:rPr>
          <w:rStyle w:val="fontstyle01"/>
          <w:sz w:val="8"/>
          <w:szCs w:val="8"/>
        </w:rPr>
        <w:t>OxyContin®</w:t>
      </w:r>
      <w:r w:rsidRPr="00060D89">
        <w:rPr>
          <w:rStyle w:val="fontstyle01"/>
        </w:rPr>
        <w:t>, má delší dobu účinku (8–12 hodin).</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Style w:val="fontstyle01"/>
        </w:rPr>
        <w:t>Parametr v testu je určen k detekci oxykodonu v moči v koncentraci 100 ng/ml, aby pomohl při diagnostice předávkování oxykodonem v klinickém/nemocničním prostředí a umožnil následnou léčbu, protože předávkování oxykodonem může způsobit apnoe, oběhové selhání, srdeční zástavu a smrt.</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b/>
          <w:color w:val="000000"/>
          <w:sz w:val="12"/>
          <w:szCs w:val="12"/>
        </w:rPr>
        <w:t>FENCYKLIDIN (PCP)</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Style w:val="fontstyle01"/>
        </w:rPr>
        <w:t>Fencyklidin, známý také jako PCP nebo Angel Dust, je halucinogen, který byl poprvé uveden na trh jako chirurgické anestetikum v 50. letech 20. století. Byl stažen z trhu, protože pacienti, kterým byl podáván, upadali do deliria a trpěli halucinacemi. Fencyklidin se užívá ve formě prášku, tobolek a tablet. Prášek se šňupe nebo kouří po smíchání s marihuanou nebo rostlinným materiálem. Fencyklidin se nejčastěji podává inhalací, ale lze jej použít i intravenózně, intranazálně a perorálně. Po požití nízkých dávek uživatel myslí a jedná rychle a prožívá výkyvy nálady od euforie po depresi. Sebepoškozující chování je jedním z devastujících účinků fencyklidinu. PCP lze v moči nalézt během 4 až 6 hodin po užití a v moči zůstává po dobu 7 až 14 dnů, v závislosti na faktorech, jako je rychlost metabolismu, věk uživatele, váha, aktivita a strava.</w:t>
      </w:r>
      <w:r w:rsidRPr="00060D89">
        <w:rPr>
          <w:rFonts w:ascii="Times New Roman" w:hAnsi="Times New Roman"/>
          <w:color w:val="000000"/>
          <w:sz w:val="12"/>
          <w:szCs w:val="12"/>
          <w:vertAlign w:val="superscript"/>
        </w:rPr>
        <w:t>5</w:t>
      </w:r>
      <w:r w:rsidRPr="00060D89">
        <w:rPr>
          <w:rStyle w:val="fontstyle01"/>
        </w:rPr>
        <w:t xml:space="preserve"> Fencyklidin se vylučuje močí jako nezměněná látka (4 % až 19 %) a konjugované metabolity (25 % až 30 %).</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Style w:val="fontstyle01"/>
        </w:rPr>
        <w:t>Parametr v testu je určen k detekci PCP ve vzorku moči v koncentraci 25 ng/ml, aby pomohl při diagnostice předávkování PCP v klinickém/nemocničním prostředí a umožnil následnou léčbu, protože předávkování PCP může způsobit zmatenost, kóma a dokonce smrt.</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b/>
          <w:color w:val="000000"/>
          <w:sz w:val="12"/>
          <w:szCs w:val="12"/>
        </w:rPr>
        <w:t>PREGABALIN (PGB)</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Style w:val="fontstyle01"/>
        </w:rPr>
        <w:t>Pregabalin je antiepileptikum, nazývané také antikonvulzivum. Působí na chemické látky a nervy v těle, které se podílejí na vzniku záchvatů a některých typů bolesti. Pregabalin se u dospělých používá k léčbě neuropatické bolesti (bolesti způsobené poškozením nervů) vyvolané virem herpesu nebo pásovým oparem (herpes zoster). V případě epilepsie může být použit u pacientů s parciálními záchvaty. Je doporučován jako jeden z řady léků první volby pro léčbu neuropatické bolesti při diabetické neuropatii, postherpetické neuralgii a centrální neuropatické bolesti. Mezi běžné nežádoucí účinky patří ospalost a závratě.  Mezi závažné nežádoucí účinky může patřit zvýšené riziko sebevraždy, agresivní chování a léková reakce s eozinofilií a systémovými příznaky.</w:t>
      </w:r>
    </w:p>
    <w:p w:rsidR="00084EE9" w:rsidRPr="00060D89" w:rsidRDefault="007270C2" w:rsidP="00084EE9">
      <w:pPr>
        <w:autoSpaceDE w:val="0"/>
        <w:autoSpaceDN w:val="0"/>
        <w:adjustRightInd w:val="0"/>
        <w:spacing w:beforeLines="10" w:before="24" w:afterLines="10" w:after="24" w:line="0" w:lineRule="atLeast"/>
        <w:rPr>
          <w:rStyle w:val="fontstyle01"/>
        </w:rPr>
      </w:pPr>
      <w:r w:rsidRPr="00060D89">
        <w:rPr>
          <w:rStyle w:val="fontstyle01"/>
        </w:rPr>
        <w:t>Parametr v testu je určen k detekci pregabalinu v moči v koncentraci 1 000 ng/ml a 500 ng/ml, aby pomohl při diagnostice předávkování pregabalinem v klinickém/nemocničním prostředí a umožnil následnou léčbu, protože předávkování pregabalinem může způsobit snížené vědomí, depresi, šílenství, vzrušení a podrážděnost, záchvaty a srdeční blokádu.</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b/>
          <w:color w:val="000000"/>
          <w:sz w:val="12"/>
          <w:szCs w:val="12"/>
        </w:rPr>
        <w:t>PROPOXYFEN (PPX)</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Style w:val="fontstyle01"/>
        </w:rPr>
        <w:t xml:space="preserve">Propoxyfen (PPX) je mírné narkotické analgetikum, které se vyskytuje v různých farmaceutických přípravcích, obvykle ve formě hydrochloridu nebo napsylátu. Tyto přípravky obvykle obsahují také velké množství paracetamolu, aspirinu nebo kofeinu. Maximální plazmatické koncentrace propoxyfenu se dosahují 1 až 2 hodiny po podání dávky. V případě předávkování mohou </w:t>
      </w:r>
      <w:r w:rsidRPr="00060D89">
        <w:rPr>
          <w:rStyle w:val="fontstyle01"/>
        </w:rPr>
        <w:lastRenderedPageBreak/>
        <w:t>koncentrace propoxyfenu v krvi dosáhnout výrazně vyšších úrovní. U člověka se propoxyfen metabolizuje N-demetylací za vzniku norpropoxyfenu. Norpropoxyfen má delší poločas (30 až 36 hodin) než mateřský propoxyfen (6 až 12 hodin). Akumulace norpropoxyfenu pozorovaná při opakovaných dávkách může být z velké části zodpovědná za výslednou toxicitu.</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Style w:val="fontstyle01"/>
        </w:rPr>
        <w:t>Parametr v testu je určen k detekci propoxyfenu v moči v koncentraci 300 ng/ml, aby pomohl při diagnostice předávkování propoxyfenem v klinickém/nemocničním prostředí a umožnil následnou léčbu, protože předávkování propoxyfenem může způsobit respirační depresi, extrémní ospalost a slabost, následované kómatem, mydriázou, lokálními nebo systémovými křečemi, poruchami srdečního vedení, arytmií, plicní edém, dokonce i apnoe a srdeční zástavu.</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b/>
          <w:color w:val="000000"/>
          <w:sz w:val="12"/>
          <w:szCs w:val="12"/>
        </w:rPr>
        <w:t>UR-144</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Style w:val="fontstyle01"/>
        </w:rPr>
        <w:t>UR-144 je syntetický kanabinoid nové generace, chemicky odlišný od první generace. UR-144 vzniká nahrazením naftalenového kruhu v JWH-018 skupinou tetrachlormethylcyklopropyl. Většina pacientů pociťuje potíže s dýcháním a zrychlený srdeční rytmus, zatímco další vedlejší účinky u uživatelů zahrnují zvracení, bludy, zmatenost, podrážděnost a rozšířené zornice.</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Cs/>
          <w:color w:val="000000"/>
          <w:sz w:val="12"/>
          <w:szCs w:val="12"/>
        </w:rPr>
      </w:pPr>
      <w:r w:rsidRPr="00060D89">
        <w:rPr>
          <w:rStyle w:val="fontstyle01"/>
        </w:rPr>
        <w:t>Parametr v testu je určen k detekci UR-144 v moči v koncentraci 50 ng/ml, aby pomohl při diagnostice předávkování UR-144 v klinickém/nemocničním prostředí a umožnil následnou léčbu, protože předávkování UR-144 může způsobit příznaky otravy, jako je hypertenze, úzkost, necitlivost, epilepsie a šišlání.   </w:t>
      </w:r>
    </w:p>
    <w:p w:rsidR="00084EE9" w:rsidRPr="00060D89" w:rsidRDefault="00084EE9" w:rsidP="00084EE9">
      <w:pPr>
        <w:autoSpaceDE w:val="0"/>
        <w:autoSpaceDN w:val="0"/>
        <w:adjustRightInd w:val="0"/>
        <w:spacing w:beforeLines="10" w:before="24" w:afterLines="10" w:after="24" w:line="0" w:lineRule="atLeast"/>
        <w:rPr>
          <w:rFonts w:ascii="Times New Roman" w:hAnsi="Times New Roman"/>
          <w:b/>
          <w:color w:val="000000"/>
          <w:sz w:val="12"/>
          <w:szCs w:val="12"/>
        </w:rPr>
      </w:pP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Fonts w:ascii="Times New Roman" w:hAnsi="Times New Roman"/>
          <w:b/>
          <w:color w:val="000000"/>
          <w:sz w:val="12"/>
          <w:szCs w:val="12"/>
        </w:rPr>
        <w:t>CARISOPRODOL (SOMA)</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color w:val="000000"/>
          <w:sz w:val="12"/>
          <w:szCs w:val="12"/>
        </w:rPr>
      </w:pPr>
      <w:r w:rsidRPr="00060D89">
        <w:rPr>
          <w:rStyle w:val="fontstyle01"/>
        </w:rPr>
        <w:t>Carisoprodol je také známý jako Muscle Tranquility, Callitis, RELA. Jedná se o derivát methylalaninového esteru, který má také sedativní a protiúzkostné účinky a používá se k léčbě akutních svalových křečí a podvrtnutí. Během léčby se vyhýbejte nebezpečným mechanickým operacím.</w:t>
      </w:r>
    </w:p>
    <w:p w:rsidR="00084EE9" w:rsidRPr="00060D89" w:rsidRDefault="007270C2" w:rsidP="00084EE9">
      <w:pPr>
        <w:autoSpaceDE w:val="0"/>
        <w:autoSpaceDN w:val="0"/>
        <w:adjustRightInd w:val="0"/>
        <w:spacing w:beforeLines="10" w:before="24" w:afterLines="10" w:after="24" w:line="0" w:lineRule="atLeast"/>
        <w:rPr>
          <w:rFonts w:ascii="Times New Roman" w:hAnsi="Times New Roman"/>
          <w:b/>
          <w:color w:val="000000"/>
          <w:sz w:val="12"/>
          <w:szCs w:val="12"/>
        </w:rPr>
      </w:pPr>
      <w:r w:rsidRPr="00060D89">
        <w:rPr>
          <w:rStyle w:val="fontstyle01"/>
        </w:rPr>
        <w:t xml:space="preserve">Parametr v testu je určen k detekci karisoprodolu v moči v koncentraci 1 000 ng/ml, aby pomohl při diagnostice předávkování karisoprodolem v klinickém/nemocničním prostředí a umožnil následnou léčbu, protože předávkování karisoprodolem může způsobit ztuhlost, kóma, šok, respirační depresi a dokonce smrt.  </w:t>
      </w:r>
    </w:p>
    <w:p w:rsidR="00084EE9" w:rsidRPr="00060D89" w:rsidRDefault="00084EE9" w:rsidP="00084EE9">
      <w:pPr>
        <w:spacing w:beforeLines="10" w:before="24" w:afterLines="10" w:after="24" w:line="0" w:lineRule="atLeast"/>
        <w:rPr>
          <w:rFonts w:ascii="Times New Roman" w:hAnsi="Times New Roman"/>
          <w:b/>
          <w:bCs/>
          <w:color w:val="000000"/>
          <w:sz w:val="12"/>
          <w:szCs w:val="12"/>
        </w:rPr>
      </w:pPr>
    </w:p>
    <w:p w:rsidR="00084EE9" w:rsidRPr="00060D89" w:rsidRDefault="007270C2" w:rsidP="00084EE9">
      <w:pPr>
        <w:spacing w:beforeLines="10" w:before="24" w:afterLines="10" w:after="24" w:line="0" w:lineRule="atLeast"/>
        <w:rPr>
          <w:rFonts w:ascii="Times New Roman" w:hAnsi="Times New Roman"/>
          <w:color w:val="000000"/>
          <w:sz w:val="12"/>
          <w:szCs w:val="12"/>
        </w:rPr>
      </w:pPr>
      <w:r w:rsidRPr="00060D89">
        <w:rPr>
          <w:rFonts w:ascii="Times New Roman" w:hAnsi="Times New Roman"/>
          <w:b/>
          <w:bCs/>
          <w:color w:val="000000"/>
          <w:sz w:val="12"/>
          <w:szCs w:val="12"/>
        </w:rPr>
        <w:t>TRICYKLICKÁ ANTIDEPRESIVA (TCA)</w:t>
      </w:r>
      <w:r w:rsidRPr="00060D89">
        <w:rPr>
          <w:rFonts w:ascii="Times New Roman" w:hAnsi="Times New Roman"/>
          <w:b/>
          <w:bCs/>
          <w:color w:val="000000"/>
          <w:sz w:val="12"/>
          <w:szCs w:val="12"/>
        </w:rPr>
        <w:br/>
      </w:r>
      <w:r w:rsidRPr="00060D89">
        <w:rPr>
          <w:rFonts w:ascii="Times New Roman" w:hAnsi="Times New Roman"/>
          <w:color w:val="000000"/>
          <w:sz w:val="12"/>
          <w:szCs w:val="12"/>
        </w:rPr>
        <w:t>TCA (tricyklická antidepresiva) se běžně používají k léčbě depresivních poruch. TCA se užívají perorálně nebo někdy injekčně. TCA se metabolizují v játrech. Jak TCA, tak jejich metabolity se vylučují močí, většinou ve formě metabolitů, po dobu až deseti dnů.</w:t>
      </w:r>
    </w:p>
    <w:p w:rsidR="00084EE9" w:rsidRPr="00060D89" w:rsidRDefault="007270C2" w:rsidP="00084EE9">
      <w:pPr>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Parametr v testu je určen k detekci TCA ve vzorku moči v koncentraci 1 000 ng/ml, aby pomohl při diagnostice předávkování TCA v klinickém/nemocničním prostředí a umožnil následnou léčbu, protože předávkování TCA může způsobit závažnou depresi centrálního nervového systému, kardiotoxicitu a anticholinergní účinky.</w:t>
      </w:r>
    </w:p>
    <w:p w:rsidR="00084EE9" w:rsidRPr="00060D89" w:rsidRDefault="00084EE9" w:rsidP="00084EE9">
      <w:pPr>
        <w:spacing w:beforeLines="10" w:before="24" w:afterLines="10" w:after="24" w:line="0" w:lineRule="atLeast"/>
        <w:rPr>
          <w:rFonts w:ascii="Times New Roman" w:hAnsi="Times New Roman"/>
          <w:color w:val="000000"/>
          <w:sz w:val="12"/>
          <w:szCs w:val="12"/>
        </w:rPr>
      </w:pPr>
    </w:p>
    <w:p w:rsidR="00084EE9" w:rsidRPr="00060D89" w:rsidRDefault="007270C2" w:rsidP="00084EE9">
      <w:pPr>
        <w:spacing w:beforeLines="10" w:before="24" w:afterLines="10" w:after="24" w:line="0" w:lineRule="atLeast"/>
        <w:rPr>
          <w:rFonts w:ascii="Times New Roman" w:hAnsi="Times New Roman"/>
          <w:color w:val="000000"/>
          <w:sz w:val="12"/>
          <w:szCs w:val="12"/>
        </w:rPr>
      </w:pPr>
      <w:r w:rsidRPr="00060D89">
        <w:rPr>
          <w:rFonts w:ascii="Times New Roman" w:hAnsi="Times New Roman"/>
          <w:b/>
          <w:bCs/>
          <w:color w:val="000000"/>
          <w:sz w:val="12"/>
          <w:szCs w:val="12"/>
        </w:rPr>
        <w:t>TRAMADOL (TRA)</w:t>
      </w:r>
      <w:r w:rsidRPr="00060D89">
        <w:rPr>
          <w:rFonts w:ascii="Times New Roman" w:hAnsi="Times New Roman"/>
          <w:b/>
          <w:bCs/>
          <w:color w:val="000000"/>
          <w:sz w:val="12"/>
          <w:szCs w:val="12"/>
        </w:rPr>
        <w:br/>
      </w:r>
      <w:r w:rsidRPr="00060D89">
        <w:rPr>
          <w:rFonts w:ascii="Times New Roman" w:hAnsi="Times New Roman"/>
          <w:color w:val="000000"/>
          <w:sz w:val="12"/>
          <w:szCs w:val="12"/>
        </w:rPr>
        <w:t>Tramadol je kvazinarkotické analgetikum používané k léčbě středně silné až silné bolesti. Jedná se o syntetický analog kodeinu, který však má nízkou vazebnou afinitu k mu-opioidním receptorům. Byl předepisován mimo indikace k léčbě diabetické neuropatie a syndromu neklidných nohou.</w:t>
      </w:r>
      <w:r w:rsidRPr="00060D89">
        <w:rPr>
          <w:rFonts w:ascii="Times New Roman" w:hAnsi="Times New Roman"/>
          <w:color w:val="000000"/>
          <w:sz w:val="8"/>
          <w:szCs w:val="8"/>
        </w:rPr>
        <w:t xml:space="preserve">2 </w:t>
      </w:r>
      <w:r w:rsidRPr="00060D89">
        <w:rPr>
          <w:rFonts w:ascii="Times New Roman" w:hAnsi="Times New Roman"/>
          <w:color w:val="000000"/>
          <w:sz w:val="12"/>
          <w:szCs w:val="12"/>
        </w:rPr>
        <w:t>Vysoké dávky tramadolu mohou vyvolat toleranci a fyziologickou závislost a vést k jeho zneužívání. Jak forma Δ (d), tak forma L izomerů jsou kontrolované látky. Přibližně 30 % dávky se vylučuje močí jako nezměněná látka, zatímco 60 % se vylučuje jako metabolity. Hlavními metabolickými cestami se zdají být N- a O-demetylace, glukuronidace nebo sulfatace v játrech.</w:t>
      </w:r>
    </w:p>
    <w:p w:rsidR="00084EE9" w:rsidRPr="00060D89" w:rsidRDefault="007270C2" w:rsidP="00084EE9">
      <w:pPr>
        <w:spacing w:beforeLines="10" w:before="24" w:afterLines="10" w:after="24" w:line="0" w:lineRule="atLeast"/>
        <w:rPr>
          <w:rFonts w:ascii="Times New Roman" w:hAnsi="Times New Roman"/>
          <w:iCs/>
          <w:color w:val="000000"/>
          <w:kern w:val="0"/>
          <w:sz w:val="12"/>
          <w:szCs w:val="12"/>
          <w:lang w:eastAsia="en-US"/>
        </w:rPr>
      </w:pPr>
      <w:r w:rsidRPr="00060D89">
        <w:rPr>
          <w:rFonts w:ascii="Times New Roman" w:hAnsi="Times New Roman"/>
          <w:color w:val="000000"/>
          <w:sz w:val="12"/>
          <w:szCs w:val="12"/>
        </w:rPr>
        <w:t>Parametr v testu je určen k detekci tramadolu v moči v koncentraci 200 ng/ml a 100 ng/ml, aby pomohl při diagnostice předávkování tramadolem v klinickém/nemocničním prostředí a umožnil následnou léčbu, protože předávkování tramadolem může způsobit poruchy vědomí, v závažných případech kóma a může být doprovázeno záchvaty, přičemž nejčastější jsou generalizované tonicko-klonické záchvaty. Zároveň dojde k narušení činnosti dýchacího a oběhového systému, které se projeví respirační depresí, dokonce i zástavou dýchání, hypotenzí, tachykardií atd.</w:t>
      </w:r>
      <w:r w:rsidRPr="00060D89">
        <w:rPr>
          <w:rFonts w:ascii="Times New Roman" w:hAnsi="Times New Roman"/>
          <w:iCs/>
          <w:color w:val="000000"/>
          <w:kern w:val="0"/>
          <w:sz w:val="12"/>
          <w:szCs w:val="12"/>
          <w:lang w:eastAsia="en-US"/>
        </w:rPr>
        <w:t xml:space="preserve"> 0 % dávky se vylučuje močí jako nezměněná látka, zatímco 60 % se vylučuje jako metabolity. Hlavními metabolickými cestami se zdají být N- a O-demetylace, glukuronidace nebo sulfatace v játrech.</w:t>
      </w:r>
    </w:p>
    <w:p w:rsidR="00F06C6A" w:rsidRPr="00060D89" w:rsidRDefault="00F06C6A" w:rsidP="00084EE9">
      <w:pPr>
        <w:spacing w:beforeLines="10" w:before="24" w:afterLines="10" w:after="24" w:line="0" w:lineRule="atLeast"/>
        <w:rPr>
          <w:rFonts w:ascii="Times New Roman" w:hAnsi="Times New Roman"/>
          <w:iCs/>
          <w:color w:val="000000"/>
          <w:kern w:val="0"/>
          <w:sz w:val="12"/>
          <w:szCs w:val="12"/>
          <w:lang w:eastAsia="en-US"/>
        </w:rPr>
      </w:pPr>
    </w:p>
    <w:p w:rsidR="00F06C6A" w:rsidRPr="00060D89" w:rsidRDefault="007270C2" w:rsidP="00F06C6A">
      <w:pPr>
        <w:spacing w:beforeLines="10" w:before="24" w:afterLines="10" w:after="24" w:line="0" w:lineRule="atLeast"/>
        <w:rPr>
          <w:rFonts w:ascii="Times New Roman" w:hAnsi="Times New Roman"/>
          <w:b/>
          <w:bCs/>
          <w:color w:val="000000"/>
          <w:sz w:val="12"/>
          <w:szCs w:val="12"/>
        </w:rPr>
      </w:pPr>
      <w:r w:rsidRPr="00060D89">
        <w:rPr>
          <w:rFonts w:ascii="Times New Roman" w:hAnsi="Times New Roman"/>
          <w:b/>
          <w:bCs/>
          <w:color w:val="000000"/>
          <w:sz w:val="12"/>
          <w:szCs w:val="12"/>
        </w:rPr>
        <w:t>Zolpidem (ZOL)</w:t>
      </w:r>
    </w:p>
    <w:p w:rsidR="00F06C6A" w:rsidRPr="00060D89" w:rsidRDefault="007270C2" w:rsidP="00F06C6A">
      <w:pPr>
        <w:spacing w:beforeLines="10" w:before="24" w:afterLines="10" w:after="24" w:line="0" w:lineRule="atLeast"/>
        <w:rPr>
          <w:rFonts w:ascii="Times New Roman" w:hAnsi="Times New Roman"/>
          <w:iCs/>
          <w:color w:val="000000"/>
          <w:kern w:val="0"/>
          <w:sz w:val="12"/>
          <w:szCs w:val="12"/>
        </w:rPr>
      </w:pPr>
      <w:r w:rsidRPr="00060D89">
        <w:rPr>
          <w:rFonts w:ascii="Times New Roman" w:hAnsi="Times New Roman"/>
          <w:iCs/>
          <w:color w:val="000000"/>
          <w:kern w:val="0"/>
          <w:sz w:val="12"/>
          <w:szCs w:val="12"/>
        </w:rPr>
        <w:t>Zolpidem (obchodní názvy Ambien, Ambien CR, Intermezzo, Stilnox, Stilnoct, Sublinox, Hypnogen, Zonadin, Sanval a Zolsana) je lék na předpis používaný k léčbě nespavosti a některých poruch mozku.   1Jedná se o krátkodobě působící nebenzodiazepinové hypnotikum ze skupiny imidazopyridinů1, které zesiluje účinek GABA, inhibičního neurotransmiteru, tím, že se váže na GABAA receptory na stejném místě jako benzodiazepiny.2    Působí rychle, obvykle do 15 minut, a má krátký poločas rozpadu, který činí dvě až tři hodiny.</w:t>
      </w:r>
    </w:p>
    <w:p w:rsidR="00F06C6A" w:rsidRPr="00060D89" w:rsidRDefault="007270C2" w:rsidP="00F06C6A">
      <w:pPr>
        <w:spacing w:beforeLines="10" w:before="24" w:afterLines="10" w:after="24" w:line="0" w:lineRule="atLeast"/>
        <w:rPr>
          <w:rFonts w:ascii="Times New Roman" w:hAnsi="Times New Roman"/>
          <w:iCs/>
          <w:color w:val="000000"/>
          <w:kern w:val="0"/>
          <w:sz w:val="12"/>
          <w:szCs w:val="12"/>
        </w:rPr>
      </w:pPr>
      <w:r w:rsidRPr="00060D89">
        <w:rPr>
          <w:rFonts w:ascii="Times New Roman" w:hAnsi="Times New Roman"/>
          <w:iCs/>
          <w:color w:val="000000"/>
          <w:kern w:val="0"/>
          <w:sz w:val="12"/>
          <w:szCs w:val="12"/>
        </w:rPr>
        <w:t>Zolpidem lze detekovat v krvi nebo plazmě za účelem potvrzení diagnózy otravy u hospitalizovaných pacientů, jako důkaz při zatčení za řízení pod vlivem nebo jako pomoc při soudně-lékařském vyšetřování úmrtí.</w:t>
      </w:r>
    </w:p>
    <w:p w:rsidR="00312A0A" w:rsidRPr="00060D89" w:rsidRDefault="007270C2" w:rsidP="00F06C6A">
      <w:pPr>
        <w:spacing w:beforeLines="10" w:before="24" w:afterLines="10" w:after="24" w:line="0" w:lineRule="atLeast"/>
        <w:rPr>
          <w:rFonts w:ascii="Times New Roman" w:hAnsi="Times New Roman"/>
          <w:color w:val="000000"/>
          <w:sz w:val="12"/>
          <w:szCs w:val="12"/>
        </w:rPr>
      </w:pPr>
      <w:r w:rsidRPr="00060D89">
        <w:rPr>
          <w:rFonts w:ascii="Times New Roman" w:hAnsi="Times New Roman"/>
          <w:color w:val="000000"/>
          <w:sz w:val="12"/>
          <w:szCs w:val="12"/>
        </w:rPr>
        <w:t>Parametr v testu je určen k detekci zolpidemu ve vzorku moči při mezní koncentraci 50 ng/ml, aby pomohl při diagnostice předávkování zolpidemem v klinickém/nemocničním prostředí a umožnil řízení následné léčby. Předávkování zolpidemem může způsobit útlum centrálního nervového systému, který se projevuje ospalostí, zmateností, ataxií, stuporem nebo kómatem. V závažných případech může dojít k respirační depresi, hypotenzi, bradykardii a dalším poruchám dýchacího a oběhového systému.</w:t>
      </w:r>
    </w:p>
    <w:p w:rsidR="00EE7251" w:rsidRDefault="007270C2">
      <w:pPr>
        <w:pStyle w:val="Heading2"/>
        <w:shd w:val="clear" w:color="auto" w:fill="000000"/>
        <w:spacing w:before="80" w:after="80" w:line="0" w:lineRule="atLeast"/>
        <w:jc w:val="center"/>
        <w:rPr>
          <w:rFonts w:ascii="Times New Roman" w:hAnsi="Times New Roman"/>
          <w:sz w:val="12"/>
          <w:szCs w:val="12"/>
        </w:rPr>
      </w:pPr>
      <w:r>
        <w:rPr>
          <w:rFonts w:ascii="Times New Roman" w:hAnsi="Times New Roman"/>
          <w:sz w:val="12"/>
          <w:szCs w:val="12"/>
        </w:rPr>
        <w:t>PRINCIP</w:t>
      </w:r>
    </w:p>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 xml:space="preserve">Testovací proužek One Step Drugs of Abuse Test Dip Card (moč) je rychlý chromatografický imunotest založený na principu kompetitivní vazby. Látky, které mohou být přítomny ve vzorku moči, soutěží s konjugátem látky o vazebná místa na protilátce. </w:t>
      </w:r>
    </w:p>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Během testování vzorek moči stoupá nahoru kapilárním účinkem. Pokud je droga ve vzorku moči přítomna v koncentraci nižší než je mezní hodnota, nenasycuje vazebná místa specifické protilátky. Protilátka pak reaguje s konjugátem drogy a bílkoviny a v oblasti testovací čáry se objeví viditelná barevná čára. Přítomnost drogy v koncentraci vyšší než je mezní hodnota nasytí všechna vazebná místa protilátky. Proto se v oblasti testovací čáry barevná čára nevytvoří.</w:t>
      </w:r>
    </w:p>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Vzorek moči pozitivní na léčivo nevytvoří barevnou čáru v oblasti testovací čáry z důvodu konkurence léčiva, zatímco vzorek moči negativní na léčivo vytvoří čáru v oblasti testovací čáry z důvodu absence konkurence léčiva. Jako procesní kontrola se v oblasti kontrolní čáry vždy objeví barevná čára, která indikuje, že byl přidán správný objem vzorku a došlo k nasáknutí membrány.</w:t>
      </w:r>
    </w:p>
    <w:p w:rsidR="00EE7251" w:rsidRDefault="007270C2">
      <w:pPr>
        <w:pStyle w:val="Heading2"/>
        <w:shd w:val="clear" w:color="auto" w:fill="000000"/>
        <w:spacing w:before="80" w:after="80" w:line="0" w:lineRule="atLeast"/>
        <w:jc w:val="center"/>
        <w:rPr>
          <w:rFonts w:ascii="Times New Roman" w:hAnsi="Times New Roman"/>
          <w:sz w:val="12"/>
          <w:szCs w:val="12"/>
        </w:rPr>
      </w:pPr>
      <w:r>
        <w:rPr>
          <w:rFonts w:ascii="Times New Roman" w:hAnsi="Times New Roman"/>
          <w:sz w:val="12"/>
          <w:szCs w:val="12"/>
        </w:rPr>
        <w:t>REAGENTY</w:t>
      </w:r>
    </w:p>
    <w:p w:rsidR="00EE7251" w:rsidRDefault="007270C2">
      <w:pPr>
        <w:pStyle w:val="BodyText2"/>
        <w:spacing w:beforeLines="10" w:before="24" w:afterLines="10" w:after="24" w:line="0" w:lineRule="atLeast"/>
        <w:rPr>
          <w:rFonts w:ascii="Times New Roman" w:hAnsi="Times New Roman"/>
          <w:color w:val="auto"/>
          <w:sz w:val="12"/>
          <w:szCs w:val="12"/>
          <w:lang w:eastAsia="zh-CN"/>
        </w:rPr>
      </w:pPr>
      <w:r>
        <w:rPr>
          <w:rFonts w:ascii="Times New Roman" w:hAnsi="Times New Roman"/>
          <w:color w:val="auto"/>
          <w:sz w:val="12"/>
          <w:szCs w:val="12"/>
        </w:rPr>
        <w:t xml:space="preserve">Každá testovací čára na testovací kartě obsahuje částice spojené s myší monoklonální protilátkou a odpovídající konjugáty drogy a bílkoviny. V každé kontrolní čáře je použita </w:t>
      </w:r>
      <w:r>
        <w:rPr>
          <w:rFonts w:ascii="Times New Roman" w:hAnsi="Times New Roman"/>
          <w:color w:val="auto"/>
          <w:sz w:val="12"/>
          <w:szCs w:val="12"/>
          <w:lang w:eastAsia="zh-CN"/>
        </w:rPr>
        <w:t>kozí</w:t>
      </w:r>
      <w:r>
        <w:rPr>
          <w:rFonts w:ascii="Times New Roman" w:hAnsi="Times New Roman"/>
          <w:color w:val="auto"/>
          <w:sz w:val="12"/>
          <w:szCs w:val="12"/>
        </w:rPr>
        <w:t xml:space="preserve"> protilátka.</w:t>
      </w:r>
    </w:p>
    <w:p w:rsidR="00EE7251" w:rsidRDefault="007270C2">
      <w:pPr>
        <w:pStyle w:val="Heading2"/>
        <w:shd w:val="clear" w:color="auto" w:fill="000000"/>
        <w:spacing w:before="80" w:after="80" w:line="0" w:lineRule="atLeast"/>
        <w:jc w:val="center"/>
        <w:rPr>
          <w:rFonts w:ascii="Times New Roman" w:hAnsi="Times New Roman"/>
          <w:sz w:val="12"/>
          <w:szCs w:val="12"/>
        </w:rPr>
      </w:pPr>
      <w:r>
        <w:rPr>
          <w:rFonts w:ascii="Times New Roman" w:hAnsi="Times New Roman"/>
          <w:sz w:val="12"/>
          <w:szCs w:val="12"/>
        </w:rPr>
        <w:t>BEZPEČNOSTNÍ OPATŘENÍ</w:t>
      </w:r>
    </w:p>
    <w:p w:rsidR="00EE7251" w:rsidRDefault="007270C2">
      <w:pPr>
        <w:pStyle w:val="a"/>
        <w:numPr>
          <w:ilvl w:val="0"/>
          <w:numId w:val="1"/>
        </w:numPr>
        <w:tabs>
          <w:tab w:val="left" w:pos="193"/>
          <w:tab w:val="left" w:pos="579"/>
        </w:tabs>
        <w:spacing w:beforeLines="10" w:before="24" w:line="0" w:lineRule="atLeast"/>
        <w:ind w:left="215" w:hanging="215"/>
        <w:rPr>
          <w:rFonts w:ascii="Times New Roman" w:hAnsi="Times New Roman"/>
          <w:sz w:val="12"/>
          <w:szCs w:val="12"/>
        </w:rPr>
      </w:pPr>
      <w:r>
        <w:rPr>
          <w:rFonts w:ascii="Times New Roman" w:hAnsi="Times New Roman"/>
          <w:sz w:val="12"/>
          <w:szCs w:val="12"/>
        </w:rPr>
        <w:t xml:space="preserve">Pouze pro </w:t>
      </w:r>
      <w:r>
        <w:rPr>
          <w:rFonts w:ascii="Times New Roman" w:hAnsi="Times New Roman"/>
          <w:iCs/>
          <w:sz w:val="12"/>
          <w:szCs w:val="12"/>
          <w:lang w:eastAsia="zh-CN"/>
        </w:rPr>
        <w:t xml:space="preserve">profesionální </w:t>
      </w:r>
      <w:r>
        <w:rPr>
          <w:rFonts w:ascii="Times New Roman" w:hAnsi="Times New Roman"/>
          <w:sz w:val="12"/>
          <w:szCs w:val="12"/>
        </w:rPr>
        <w:t xml:space="preserve">diagnostické použití </w:t>
      </w:r>
      <w:r>
        <w:rPr>
          <w:rFonts w:ascii="Times New Roman" w:hAnsi="Times New Roman"/>
          <w:i/>
          <w:sz w:val="12"/>
          <w:szCs w:val="12"/>
          <w:lang w:eastAsia="zh-CN"/>
        </w:rPr>
        <w:t>in vitro</w:t>
      </w:r>
      <w:r>
        <w:rPr>
          <w:rFonts w:ascii="Times New Roman" w:hAnsi="Times New Roman"/>
          <w:sz w:val="12"/>
          <w:szCs w:val="12"/>
        </w:rPr>
        <w:t>.</w:t>
      </w:r>
    </w:p>
    <w:p w:rsidR="00EE7251" w:rsidRDefault="007270C2">
      <w:pPr>
        <w:pStyle w:val="a"/>
        <w:numPr>
          <w:ilvl w:val="0"/>
          <w:numId w:val="1"/>
        </w:numPr>
        <w:tabs>
          <w:tab w:val="left" w:pos="193"/>
          <w:tab w:val="left" w:pos="579"/>
        </w:tabs>
        <w:spacing w:line="0" w:lineRule="atLeast"/>
        <w:ind w:left="215" w:hanging="215"/>
        <w:rPr>
          <w:rFonts w:ascii="Times New Roman" w:hAnsi="Times New Roman"/>
          <w:sz w:val="12"/>
          <w:szCs w:val="12"/>
        </w:rPr>
      </w:pPr>
      <w:r>
        <w:rPr>
          <w:rFonts w:ascii="Times New Roman" w:hAnsi="Times New Roman"/>
          <w:sz w:val="12"/>
          <w:szCs w:val="12"/>
        </w:rPr>
        <w:t>Nepoužívejte po uplynutí doby použitelnosti.</w:t>
      </w:r>
    </w:p>
    <w:p w:rsidR="00EE7251" w:rsidRDefault="007270C2">
      <w:pPr>
        <w:pStyle w:val="a"/>
        <w:numPr>
          <w:ilvl w:val="0"/>
          <w:numId w:val="1"/>
        </w:numPr>
        <w:tabs>
          <w:tab w:val="left" w:pos="193"/>
          <w:tab w:val="left" w:pos="579"/>
        </w:tabs>
        <w:spacing w:line="0" w:lineRule="atLeast"/>
        <w:ind w:left="215" w:hanging="215"/>
        <w:rPr>
          <w:rFonts w:ascii="Times New Roman" w:hAnsi="Times New Roman"/>
          <w:sz w:val="12"/>
          <w:szCs w:val="12"/>
        </w:rPr>
      </w:pPr>
      <w:r>
        <w:rPr>
          <w:rFonts w:ascii="Times New Roman" w:hAnsi="Times New Roman"/>
          <w:sz w:val="12"/>
          <w:szCs w:val="12"/>
        </w:rPr>
        <w:t xml:space="preserve">Testovací </w:t>
      </w:r>
      <w:r>
        <w:rPr>
          <w:rFonts w:ascii="Times New Roman" w:hAnsi="Times New Roman"/>
          <w:sz w:val="12"/>
          <w:szCs w:val="12"/>
          <w:lang w:eastAsia="zh-CN"/>
        </w:rPr>
        <w:t xml:space="preserve">proužek </w:t>
      </w:r>
      <w:r>
        <w:rPr>
          <w:rFonts w:ascii="Times New Roman" w:hAnsi="Times New Roman"/>
          <w:sz w:val="12"/>
          <w:szCs w:val="12"/>
        </w:rPr>
        <w:t>by měl zůstat v uzavřeném obalu až do použití.</w:t>
      </w:r>
    </w:p>
    <w:p w:rsidR="00EE7251" w:rsidRDefault="007270C2">
      <w:pPr>
        <w:pStyle w:val="a"/>
        <w:numPr>
          <w:ilvl w:val="0"/>
          <w:numId w:val="1"/>
        </w:numPr>
        <w:tabs>
          <w:tab w:val="left" w:pos="193"/>
          <w:tab w:val="left" w:pos="579"/>
        </w:tabs>
        <w:spacing w:line="0" w:lineRule="atLeast"/>
        <w:ind w:left="215" w:hanging="215"/>
        <w:rPr>
          <w:rFonts w:ascii="Times New Roman" w:hAnsi="Times New Roman"/>
          <w:sz w:val="12"/>
          <w:szCs w:val="12"/>
        </w:rPr>
      </w:pPr>
      <w:r>
        <w:rPr>
          <w:rFonts w:ascii="Times New Roman" w:hAnsi="Times New Roman"/>
          <w:sz w:val="12"/>
          <w:szCs w:val="12"/>
        </w:rPr>
        <w:t>Všechny vzorky je třeba považovat za potenciálně nebezpečné a zacházet s nimi stejně jako s infekčními agens.</w:t>
      </w:r>
    </w:p>
    <w:p w:rsidR="00EE7251" w:rsidRDefault="007270C2">
      <w:pPr>
        <w:pStyle w:val="a"/>
        <w:numPr>
          <w:ilvl w:val="0"/>
          <w:numId w:val="1"/>
        </w:numPr>
        <w:tabs>
          <w:tab w:val="left" w:pos="193"/>
          <w:tab w:val="left" w:pos="579"/>
        </w:tabs>
        <w:spacing w:afterLines="10" w:after="24" w:line="0" w:lineRule="atLeast"/>
        <w:ind w:left="215" w:hanging="215"/>
        <w:rPr>
          <w:rFonts w:ascii="Times New Roman" w:hAnsi="Times New Roman"/>
          <w:sz w:val="12"/>
          <w:szCs w:val="12"/>
        </w:rPr>
      </w:pPr>
      <w:r>
        <w:rPr>
          <w:rFonts w:ascii="Times New Roman" w:hAnsi="Times New Roman"/>
          <w:sz w:val="12"/>
          <w:szCs w:val="12"/>
        </w:rPr>
        <w:t xml:space="preserve">Použitou testovací </w:t>
      </w:r>
      <w:r>
        <w:rPr>
          <w:rFonts w:ascii="Times New Roman" w:hAnsi="Times New Roman"/>
          <w:sz w:val="12"/>
          <w:szCs w:val="12"/>
          <w:lang w:eastAsia="zh-CN"/>
        </w:rPr>
        <w:t xml:space="preserve">kartu </w:t>
      </w:r>
      <w:r>
        <w:rPr>
          <w:rFonts w:ascii="Times New Roman" w:hAnsi="Times New Roman"/>
          <w:sz w:val="12"/>
          <w:szCs w:val="12"/>
        </w:rPr>
        <w:t>je třeba zlikvidovat v souladu s místními předpisy.</w:t>
      </w:r>
    </w:p>
    <w:p w:rsidR="00EE7251" w:rsidRDefault="007270C2">
      <w:pPr>
        <w:pStyle w:val="a"/>
        <w:numPr>
          <w:ilvl w:val="0"/>
          <w:numId w:val="1"/>
        </w:numPr>
        <w:tabs>
          <w:tab w:val="left" w:pos="193"/>
        </w:tabs>
        <w:spacing w:afterLines="10" w:after="24" w:line="0" w:lineRule="atLeast"/>
        <w:rPr>
          <w:rFonts w:ascii="Times New Roman" w:hAnsi="Times New Roman"/>
          <w:sz w:val="12"/>
          <w:szCs w:val="12"/>
        </w:rPr>
      </w:pPr>
      <w:r>
        <w:rPr>
          <w:rFonts w:ascii="Times New Roman" w:hAnsi="Times New Roman"/>
          <w:sz w:val="12"/>
          <w:szCs w:val="12"/>
        </w:rPr>
        <w:t>Nepoužívejte, pokud je obal poškozen</w:t>
      </w:r>
    </w:p>
    <w:p w:rsidR="00EE7251" w:rsidRDefault="007270C2">
      <w:pPr>
        <w:pStyle w:val="Heading2"/>
        <w:shd w:val="clear" w:color="auto" w:fill="000000"/>
        <w:spacing w:before="80" w:after="80" w:line="0" w:lineRule="atLeast"/>
        <w:jc w:val="center"/>
        <w:rPr>
          <w:rFonts w:ascii="Times New Roman" w:hAnsi="Times New Roman"/>
          <w:sz w:val="12"/>
          <w:szCs w:val="12"/>
        </w:rPr>
      </w:pPr>
      <w:r>
        <w:rPr>
          <w:rFonts w:ascii="Times New Roman" w:hAnsi="Times New Roman"/>
          <w:sz w:val="12"/>
          <w:szCs w:val="12"/>
        </w:rPr>
        <w:t>SKLADOVÁNÍ A STABILITA</w:t>
      </w:r>
    </w:p>
    <w:p w:rsidR="00EE7251" w:rsidRDefault="007270C2">
      <w:pPr>
        <w:spacing w:beforeLines="10" w:before="24" w:afterLines="10" w:after="24" w:line="0" w:lineRule="atLeast"/>
        <w:rPr>
          <w:rFonts w:ascii="Times New Roman" w:hAnsi="Times New Roman"/>
          <w:sz w:val="12"/>
          <w:szCs w:val="12"/>
        </w:rPr>
      </w:pPr>
      <w:r>
        <w:rPr>
          <w:rFonts w:ascii="Times New Roman" w:hAnsi="Times New Roman"/>
          <w:sz w:val="12"/>
          <w:szCs w:val="12"/>
        </w:rPr>
        <w:t>Skladujte v uzavřeném obalu při pokojové teplotě nebo v chladničce (2–30 °C). Testovací kartička je stabilní po dobu platnosti uvedenou na uzavřeném obalu. Testovací kartička musí zůstat v uzavřeném obalu až do použití. Chraňte před přímým slunečním zářením, vlhkostí a teplem. NEZMRAZUJTE. Nepoužívejte po uplynutí doby platnosti.</w:t>
      </w:r>
    </w:p>
    <w:p w:rsidR="00EE7251" w:rsidRDefault="007270C2">
      <w:pPr>
        <w:pStyle w:val="Heading2"/>
        <w:shd w:val="clear" w:color="auto" w:fill="000000"/>
        <w:spacing w:before="80" w:after="80" w:line="0" w:lineRule="atLeast"/>
        <w:jc w:val="center"/>
        <w:rPr>
          <w:rFonts w:ascii="Times New Roman" w:hAnsi="Times New Roman"/>
          <w:sz w:val="12"/>
          <w:szCs w:val="12"/>
        </w:rPr>
      </w:pPr>
      <w:r>
        <w:rPr>
          <w:rFonts w:ascii="Times New Roman" w:hAnsi="Times New Roman"/>
          <w:sz w:val="12"/>
          <w:szCs w:val="12"/>
        </w:rPr>
        <w:t>ODBĚR A PŘÍPRAVA VZORKU</w:t>
      </w:r>
    </w:p>
    <w:p w:rsidR="00EE7251" w:rsidRDefault="007270C2">
      <w:pPr>
        <w:pStyle w:val="Heading8"/>
        <w:spacing w:before="80" w:after="80" w:line="0" w:lineRule="atLeast"/>
        <w:rPr>
          <w:rFonts w:ascii="Times New Roman" w:hAnsi="Times New Roman"/>
          <w:color w:val="auto"/>
          <w:sz w:val="12"/>
          <w:szCs w:val="12"/>
        </w:rPr>
      </w:pPr>
      <w:r>
        <w:rPr>
          <w:rFonts w:ascii="Times New Roman" w:hAnsi="Times New Roman"/>
          <w:color w:val="auto"/>
          <w:sz w:val="12"/>
          <w:szCs w:val="12"/>
          <w:highlight w:val="black"/>
        </w:rPr>
        <w:t>Analýza moči</w:t>
      </w:r>
    </w:p>
    <w:p w:rsidR="00EE7251" w:rsidRDefault="007270C2">
      <w:pPr>
        <w:spacing w:beforeLines="10" w:before="24" w:afterLines="10" w:after="24" w:line="0" w:lineRule="atLeast"/>
        <w:rPr>
          <w:rFonts w:ascii="Times New Roman" w:hAnsi="Times New Roman"/>
          <w:sz w:val="12"/>
          <w:szCs w:val="12"/>
        </w:rPr>
      </w:pPr>
      <w:r>
        <w:rPr>
          <w:rFonts w:ascii="Times New Roman" w:hAnsi="Times New Roman"/>
          <w:sz w:val="12"/>
          <w:szCs w:val="12"/>
        </w:rPr>
        <w:t>Vzorek moči musí být odebrán do čisté a suché nádobky. Lze použít moč odebranou v kteroukoli denní dobu. Vzorky moči vykazující viditelné sraženiny by měly být odstředěny, filtrovány nebo ponechány usadit, aby se získal čirý supernatant pro testování.</w:t>
      </w:r>
    </w:p>
    <w:p w:rsidR="00EE7251" w:rsidRDefault="007270C2">
      <w:pPr>
        <w:pStyle w:val="Heading8"/>
        <w:spacing w:before="80" w:after="80" w:line="0" w:lineRule="atLeast"/>
        <w:rPr>
          <w:rFonts w:ascii="Times New Roman" w:hAnsi="Times New Roman"/>
          <w:color w:val="auto"/>
          <w:sz w:val="12"/>
          <w:szCs w:val="12"/>
          <w:highlight w:val="black"/>
        </w:rPr>
      </w:pPr>
      <w:r>
        <w:rPr>
          <w:rFonts w:ascii="Times New Roman" w:hAnsi="Times New Roman"/>
          <w:color w:val="auto"/>
          <w:sz w:val="12"/>
          <w:szCs w:val="12"/>
          <w:highlight w:val="black"/>
        </w:rPr>
        <w:t>Skladování vzorků</w:t>
      </w:r>
    </w:p>
    <w:p w:rsidR="00EE7251" w:rsidRDefault="007270C2">
      <w:pPr>
        <w:pStyle w:val="BodyText3"/>
        <w:spacing w:beforeLines="10" w:before="24" w:afterLines="10" w:after="24" w:line="0" w:lineRule="atLeast"/>
        <w:ind w:right="0"/>
        <w:rPr>
          <w:rFonts w:ascii="Times New Roman" w:hAnsi="Times New Roman"/>
          <w:color w:val="auto"/>
          <w:spacing w:val="0"/>
          <w:sz w:val="12"/>
          <w:szCs w:val="12"/>
        </w:rPr>
      </w:pPr>
      <w:r>
        <w:rPr>
          <w:rFonts w:ascii="Times New Roman" w:hAnsi="Times New Roman"/>
          <w:color w:val="auto"/>
          <w:spacing w:val="0"/>
          <w:sz w:val="12"/>
          <w:szCs w:val="12"/>
        </w:rPr>
        <w:t>Vzorky moči lze před testováním skladovat při teplotě 2–8 °C po dobu až 48 hodin. Pro delší skladování lze vzorky zmrazit a skladovat při teplotě pod -20 °C. Zmrazené vzorky je třeba před testováním rozmrazit a dobře promíchat.</w:t>
      </w:r>
    </w:p>
    <w:p w:rsidR="00EE7251" w:rsidRDefault="007270C2">
      <w:pPr>
        <w:pStyle w:val="Heading2"/>
        <w:shd w:val="clear" w:color="auto" w:fill="000000"/>
        <w:spacing w:line="0" w:lineRule="atLeast"/>
        <w:jc w:val="center"/>
        <w:rPr>
          <w:rFonts w:ascii="Times New Roman" w:hAnsi="Times New Roman"/>
          <w:sz w:val="12"/>
          <w:szCs w:val="12"/>
        </w:rPr>
      </w:pPr>
      <w:bookmarkStart w:id="5" w:name="OLE_LINK1"/>
      <w:bookmarkStart w:id="6" w:name="OLE_LINK2"/>
      <w:r>
        <w:rPr>
          <w:rFonts w:ascii="Times New Roman" w:hAnsi="Times New Roman"/>
          <w:sz w:val="12"/>
          <w:szCs w:val="12"/>
        </w:rPr>
        <w:t>MATERIÁLY</w:t>
      </w:r>
    </w:p>
    <w:bookmarkEnd w:id="5"/>
    <w:bookmarkEnd w:id="6"/>
    <w:p w:rsidR="00EE7251" w:rsidRDefault="007270C2">
      <w:pPr>
        <w:pStyle w:val="Heading8"/>
        <w:spacing w:before="80" w:after="80" w:line="0" w:lineRule="atLeast"/>
        <w:rPr>
          <w:rFonts w:ascii="Times New Roman" w:hAnsi="Times New Roman"/>
          <w:sz w:val="12"/>
          <w:szCs w:val="12"/>
          <w:highlight w:val="black"/>
        </w:rPr>
      </w:pPr>
      <w:r>
        <w:rPr>
          <w:rFonts w:ascii="Times New Roman" w:hAnsi="Times New Roman"/>
          <w:sz w:val="12"/>
          <w:szCs w:val="12"/>
          <w:highlight w:val="black"/>
        </w:rPr>
        <w:t>Dodané materiály</w:t>
      </w:r>
    </w:p>
    <w:p w:rsidR="00EE7251" w:rsidRDefault="007270C2">
      <w:pPr>
        <w:numPr>
          <w:ilvl w:val="0"/>
          <w:numId w:val="2"/>
        </w:numPr>
        <w:autoSpaceDE w:val="0"/>
        <w:autoSpaceDN w:val="0"/>
        <w:adjustRightInd w:val="0"/>
        <w:spacing w:beforeLines="10" w:before="24" w:afterLines="10" w:after="24" w:line="0" w:lineRule="atLeast"/>
        <w:ind w:left="122" w:hangingChars="102" w:hanging="122"/>
        <w:rPr>
          <w:rFonts w:ascii="Times New Roman" w:hAnsi="Times New Roman"/>
          <w:sz w:val="12"/>
          <w:szCs w:val="12"/>
        </w:rPr>
      </w:pPr>
      <w:r>
        <w:rPr>
          <w:rFonts w:ascii="Times New Roman" w:hAnsi="Times New Roman"/>
          <w:sz w:val="12"/>
          <w:szCs w:val="12"/>
        </w:rPr>
        <w:t>25 zapečetěných sáčků, z nichž každý obsahuje testovací proužek a vysoušedlo</w:t>
      </w:r>
    </w:p>
    <w:p w:rsidR="00EE7251" w:rsidRDefault="007270C2">
      <w:pPr>
        <w:numPr>
          <w:ilvl w:val="0"/>
          <w:numId w:val="2"/>
        </w:numPr>
        <w:autoSpaceDE w:val="0"/>
        <w:autoSpaceDN w:val="0"/>
        <w:adjustRightInd w:val="0"/>
        <w:spacing w:before="80" w:after="80" w:line="0" w:lineRule="atLeast"/>
        <w:ind w:left="122" w:hangingChars="102" w:hanging="122"/>
        <w:rPr>
          <w:rFonts w:ascii="Times New Roman" w:hAnsi="Times New Roman"/>
          <w:sz w:val="12"/>
          <w:szCs w:val="12"/>
        </w:rPr>
      </w:pPr>
      <w:r>
        <w:rPr>
          <w:rFonts w:ascii="Times New Roman" w:hAnsi="Times New Roman"/>
          <w:sz w:val="12"/>
          <w:szCs w:val="12"/>
        </w:rPr>
        <w:t>1 příbalová informace</w:t>
      </w:r>
    </w:p>
    <w:p w:rsidR="00EE7251" w:rsidRDefault="007270C2">
      <w:pPr>
        <w:pStyle w:val="Heading8"/>
        <w:spacing w:before="80" w:after="80" w:line="0" w:lineRule="atLeast"/>
        <w:rPr>
          <w:rFonts w:ascii="Times New Roman" w:hAnsi="Times New Roman"/>
          <w:sz w:val="12"/>
          <w:szCs w:val="12"/>
          <w:highlight w:val="black"/>
        </w:rPr>
      </w:pPr>
      <w:r>
        <w:rPr>
          <w:rFonts w:ascii="Times New Roman" w:hAnsi="Times New Roman"/>
          <w:sz w:val="12"/>
          <w:szCs w:val="12"/>
          <w:highlight w:val="black"/>
        </w:rPr>
        <w:t>Potřebné, ale nedodávané materiály</w:t>
      </w:r>
    </w:p>
    <w:p w:rsidR="00EE7251" w:rsidRDefault="007270C2">
      <w:pPr>
        <w:numPr>
          <w:ilvl w:val="0"/>
          <w:numId w:val="3"/>
        </w:numPr>
        <w:autoSpaceDE w:val="0"/>
        <w:autoSpaceDN w:val="0"/>
        <w:adjustRightInd w:val="0"/>
        <w:spacing w:beforeLines="10" w:before="24" w:afterLines="10" w:after="24" w:line="0" w:lineRule="atLeast"/>
        <w:ind w:left="122" w:hangingChars="102" w:hanging="122"/>
        <w:rPr>
          <w:rFonts w:ascii="Times New Roman" w:hAnsi="Times New Roman"/>
          <w:sz w:val="12"/>
          <w:szCs w:val="12"/>
        </w:rPr>
      </w:pPr>
      <w:r>
        <w:rPr>
          <w:rFonts w:ascii="Times New Roman" w:hAnsi="Times New Roman"/>
          <w:sz w:val="12"/>
          <w:szCs w:val="12"/>
        </w:rPr>
        <w:t>Nádoba na odběr vzorků</w:t>
      </w:r>
    </w:p>
    <w:p w:rsidR="00EE7251" w:rsidRDefault="007270C2">
      <w:pPr>
        <w:numPr>
          <w:ilvl w:val="0"/>
          <w:numId w:val="3"/>
        </w:numPr>
        <w:autoSpaceDE w:val="0"/>
        <w:autoSpaceDN w:val="0"/>
        <w:adjustRightInd w:val="0"/>
        <w:spacing w:beforeLines="10" w:before="24" w:afterLines="10" w:after="24" w:line="0" w:lineRule="atLeast"/>
        <w:ind w:left="122" w:hangingChars="102" w:hanging="122"/>
        <w:rPr>
          <w:rFonts w:ascii="Times New Roman" w:hAnsi="Times New Roman"/>
          <w:sz w:val="12"/>
          <w:szCs w:val="12"/>
        </w:rPr>
      </w:pPr>
      <w:r>
        <w:rPr>
          <w:rFonts w:ascii="Times New Roman" w:hAnsi="Times New Roman"/>
          <w:sz w:val="12"/>
          <w:szCs w:val="12"/>
        </w:rPr>
        <w:t>Časomíra</w:t>
      </w:r>
    </w:p>
    <w:p w:rsidR="00EE7251" w:rsidRDefault="007270C2">
      <w:pPr>
        <w:pStyle w:val="Heading2"/>
        <w:shd w:val="clear" w:color="auto" w:fill="000000"/>
        <w:spacing w:before="80" w:after="80" w:line="0" w:lineRule="atLeast"/>
        <w:jc w:val="center"/>
        <w:rPr>
          <w:rFonts w:ascii="Times New Roman" w:hAnsi="Times New Roman"/>
          <w:sz w:val="12"/>
          <w:szCs w:val="12"/>
        </w:rPr>
      </w:pPr>
      <w:r>
        <w:rPr>
          <w:rFonts w:ascii="Times New Roman" w:hAnsi="Times New Roman"/>
          <w:sz w:val="12"/>
          <w:szCs w:val="12"/>
        </w:rPr>
        <w:t>NÁVOD K POUŽITÍ</w:t>
      </w:r>
    </w:p>
    <w:p w:rsidR="00EE7251" w:rsidRDefault="007270C2">
      <w:pPr>
        <w:overflowPunct w:val="0"/>
        <w:autoSpaceDE w:val="0"/>
        <w:autoSpaceDN w:val="0"/>
        <w:adjustRightInd w:val="0"/>
        <w:spacing w:line="0" w:lineRule="atLeast"/>
        <w:textAlignment w:val="baseline"/>
        <w:rPr>
          <w:rFonts w:ascii="Times New Roman" w:hAnsi="Times New Roman"/>
          <w:b/>
          <w:kern w:val="0"/>
          <w:sz w:val="12"/>
          <w:szCs w:val="12"/>
        </w:rPr>
      </w:pPr>
      <w:r>
        <w:rPr>
          <w:rFonts w:ascii="Times New Roman" w:hAnsi="Times New Roman"/>
          <w:b/>
          <w:kern w:val="0"/>
          <w:sz w:val="12"/>
          <w:szCs w:val="12"/>
        </w:rPr>
        <w:t>Před provedením testu nechte testovací proužek, vzorek moči a/nebo kontrolní vzorky ohřát na pokojovou teplotu (</w:t>
      </w:r>
      <w:r>
        <w:rPr>
          <w:rFonts w:ascii="Times New Roman" w:hAnsi="Times New Roman"/>
          <w:b/>
          <w:spacing w:val="-2"/>
          <w:kern w:val="0"/>
          <w:sz w:val="12"/>
          <w:szCs w:val="12"/>
        </w:rPr>
        <w:t>15–30 °C</w:t>
      </w:r>
      <w:r>
        <w:rPr>
          <w:rFonts w:ascii="Times New Roman" w:hAnsi="Times New Roman"/>
          <w:b/>
          <w:kern w:val="0"/>
          <w:sz w:val="12"/>
          <w:szCs w:val="12"/>
        </w:rPr>
        <w:t>).</w:t>
      </w:r>
    </w:p>
    <w:p w:rsidR="00EE7251" w:rsidRDefault="007270C2">
      <w:pPr>
        <w:overflowPunct w:val="0"/>
        <w:autoSpaceDE w:val="0"/>
        <w:autoSpaceDN w:val="0"/>
        <w:adjustRightInd w:val="0"/>
        <w:spacing w:line="0" w:lineRule="atLeast"/>
        <w:textAlignment w:val="baseline"/>
        <w:rPr>
          <w:rFonts w:ascii="Times New Roman" w:eastAsia="Arial Unicode MS" w:hAnsi="Times New Roman"/>
          <w:sz w:val="12"/>
          <w:szCs w:val="12"/>
        </w:rPr>
      </w:pPr>
      <w:r>
        <w:rPr>
          <w:rFonts w:ascii="Times New Roman" w:eastAsia="Arial Unicode MS" w:hAnsi="Times New Roman"/>
          <w:sz w:val="12"/>
          <w:szCs w:val="12"/>
        </w:rPr>
        <w:t>1) Vyjměte testovací zařízení z fóliového obalu.</w:t>
      </w:r>
    </w:p>
    <w:p w:rsidR="00EE7251" w:rsidRDefault="007270C2">
      <w:pPr>
        <w:overflowPunct w:val="0"/>
        <w:autoSpaceDE w:val="0"/>
        <w:autoSpaceDN w:val="0"/>
        <w:adjustRightInd w:val="0"/>
        <w:spacing w:line="0" w:lineRule="atLeast"/>
        <w:textAlignment w:val="baseline"/>
        <w:rPr>
          <w:rFonts w:ascii="Times New Roman" w:eastAsia="Arial Unicode MS" w:hAnsi="Times New Roman"/>
          <w:sz w:val="12"/>
          <w:szCs w:val="12"/>
        </w:rPr>
      </w:pPr>
      <w:r>
        <w:rPr>
          <w:rFonts w:ascii="Times New Roman" w:eastAsia="Arial Unicode MS" w:hAnsi="Times New Roman"/>
          <w:sz w:val="12"/>
          <w:szCs w:val="12"/>
        </w:rPr>
        <w:t>2) Sejměte krytku z testovacího zařízení. Označte zařízení identifikací pacienta nebo kontroly.</w:t>
      </w:r>
    </w:p>
    <w:p w:rsidR="00EE7251" w:rsidRDefault="007270C2">
      <w:pPr>
        <w:overflowPunct w:val="0"/>
        <w:autoSpaceDE w:val="0"/>
        <w:autoSpaceDN w:val="0"/>
        <w:adjustRightInd w:val="0"/>
        <w:spacing w:line="0" w:lineRule="atLeast"/>
        <w:textAlignment w:val="baseline"/>
        <w:rPr>
          <w:rFonts w:ascii="Times New Roman" w:eastAsia="Arial Unicode MS" w:hAnsi="Times New Roman"/>
          <w:sz w:val="12"/>
          <w:szCs w:val="12"/>
        </w:rPr>
      </w:pPr>
      <w:r>
        <w:rPr>
          <w:rFonts w:ascii="Times New Roman" w:eastAsia="Arial Unicode MS" w:hAnsi="Times New Roman"/>
          <w:sz w:val="12"/>
          <w:szCs w:val="12"/>
        </w:rPr>
        <w:t>3) Ponořte absorpční špičku do vzorku moči na 10–15 sekund. Vzorek moči by se neměl dotýkat plastového zařízení.</w:t>
      </w:r>
    </w:p>
    <w:p w:rsidR="00EE7251" w:rsidRDefault="007270C2">
      <w:pPr>
        <w:overflowPunct w:val="0"/>
        <w:autoSpaceDE w:val="0"/>
        <w:autoSpaceDN w:val="0"/>
        <w:adjustRightInd w:val="0"/>
        <w:spacing w:line="0" w:lineRule="atLeast"/>
        <w:textAlignment w:val="baseline"/>
        <w:rPr>
          <w:rFonts w:ascii="Times New Roman" w:eastAsia="Arial Unicode MS" w:hAnsi="Times New Roman"/>
          <w:sz w:val="12"/>
          <w:szCs w:val="12"/>
        </w:rPr>
      </w:pPr>
      <w:r>
        <w:rPr>
          <w:rFonts w:ascii="Times New Roman" w:eastAsia="Arial Unicode MS" w:hAnsi="Times New Roman"/>
          <w:sz w:val="12"/>
          <w:szCs w:val="12"/>
        </w:rPr>
        <w:t>4) Nasaďte krytku zpět na absorpční špičku a položte zařízení naplocho na čistý neabsorpční povrch.</w:t>
      </w:r>
    </w:p>
    <w:p w:rsidR="00EE7251" w:rsidRDefault="007270C2">
      <w:pPr>
        <w:overflowPunct w:val="0"/>
        <w:autoSpaceDE w:val="0"/>
        <w:autoSpaceDN w:val="0"/>
        <w:adjustRightInd w:val="0"/>
        <w:spacing w:line="0" w:lineRule="atLeast"/>
        <w:textAlignment w:val="baseline"/>
        <w:rPr>
          <w:rFonts w:ascii="Times New Roman" w:eastAsia="Arial Unicode MS" w:hAnsi="Times New Roman"/>
          <w:sz w:val="12"/>
          <w:szCs w:val="12"/>
        </w:rPr>
      </w:pPr>
      <w:r>
        <w:rPr>
          <w:rFonts w:ascii="Times New Roman" w:eastAsia="Arial Unicode MS" w:hAnsi="Times New Roman"/>
          <w:sz w:val="12"/>
          <w:szCs w:val="12"/>
        </w:rPr>
        <w:t>5) Výsledky odečtěte po 5 minutách.</w:t>
      </w:r>
    </w:p>
    <w:p w:rsidR="00EE7251" w:rsidRDefault="007270C2">
      <w:pPr>
        <w:spacing w:beforeLines="10" w:before="24" w:afterLines="10" w:after="24" w:line="0" w:lineRule="atLeast"/>
        <w:jc w:val="left"/>
        <w:rPr>
          <w:rFonts w:ascii="Times New Roman" w:hAnsi="Times New Roman"/>
          <w:b/>
          <w:sz w:val="12"/>
          <w:szCs w:val="12"/>
        </w:rPr>
      </w:pPr>
      <w:r>
        <w:rPr>
          <w:rFonts w:ascii="Times New Roman" w:eastAsia="Arial Unicode MS" w:hAnsi="Times New Roman"/>
          <w:b/>
          <w:sz w:val="12"/>
          <w:szCs w:val="12"/>
        </w:rPr>
        <w:t xml:space="preserve">NEVYHODNOCUJTE VÝSLEDEK PO 10 MINUTÁCH. </w:t>
      </w:r>
    </w:p>
    <w:p w:rsidR="00EE7251" w:rsidRDefault="009706B0">
      <w:pPr>
        <w:spacing w:beforeLines="10" w:before="24" w:afterLines="10" w:after="24" w:line="0" w:lineRule="atLeast"/>
        <w:jc w:val="center"/>
        <w:rPr>
          <w:rFonts w:ascii="Times New Roman" w:hAnsi="Times New Roman"/>
          <w:sz w:val="12"/>
          <w:szCs w:val="12"/>
        </w:rPr>
      </w:pPr>
      <w:r>
        <w:pict>
          <v:shape id="图片 1" o:spid="_x0000_i1025" type="#_x0000_t75" style="width:125.25pt;height:132pt;visibility:visible">
            <v:imagedata r:id="rId21" o:title="" croptop="1745f" cropleft="351f" cropright="1522f"/>
          </v:shape>
        </w:pict>
      </w:r>
    </w:p>
    <w:p w:rsidR="00EE7251" w:rsidRDefault="007270C2">
      <w:pPr>
        <w:pStyle w:val="Heading2"/>
        <w:shd w:val="clear" w:color="auto" w:fill="000000"/>
        <w:spacing w:before="80" w:after="80" w:line="0" w:lineRule="atLeast"/>
        <w:jc w:val="center"/>
        <w:rPr>
          <w:rFonts w:ascii="Times New Roman" w:hAnsi="Times New Roman"/>
          <w:sz w:val="12"/>
          <w:szCs w:val="12"/>
        </w:rPr>
      </w:pPr>
      <w:r>
        <w:rPr>
          <w:rFonts w:ascii="Times New Roman" w:hAnsi="Times New Roman"/>
          <w:sz w:val="12"/>
          <w:szCs w:val="12"/>
        </w:rPr>
        <w:t>VÝKLAD VÝSLEDKŮ</w:t>
      </w:r>
    </w:p>
    <w:p w:rsidR="007D4852" w:rsidRDefault="009706B0" w:rsidP="007D4852">
      <w:pPr>
        <w:overflowPunct w:val="0"/>
        <w:autoSpaceDE w:val="0"/>
        <w:autoSpaceDN w:val="0"/>
        <w:adjustRightInd w:val="0"/>
        <w:spacing w:line="0" w:lineRule="atLeast"/>
        <w:jc w:val="center"/>
        <w:textAlignment w:val="baseline"/>
        <w:rPr>
          <w:noProof/>
        </w:rPr>
      </w:pPr>
      <w:r>
        <w:rPr>
          <w:noProof/>
        </w:rPr>
        <w:pict>
          <v:shape id="_x0000_i1026" type="#_x0000_t75" style="width:206.25pt;height:60pt;visibility:visible">
            <v:imagedata r:id="rId22" o:title="" croptop="5598f" cropbottom="7427f"/>
          </v:shape>
        </w:pict>
      </w:r>
    </w:p>
    <w:p w:rsidR="00EE7251" w:rsidRDefault="007270C2">
      <w:pPr>
        <w:overflowPunct w:val="0"/>
        <w:autoSpaceDE w:val="0"/>
        <w:autoSpaceDN w:val="0"/>
        <w:adjustRightInd w:val="0"/>
        <w:spacing w:line="0" w:lineRule="atLeast"/>
        <w:textAlignment w:val="baseline"/>
        <w:rPr>
          <w:rFonts w:ascii="Times New Roman" w:hAnsi="Times New Roman"/>
          <w:spacing w:val="-4"/>
          <w:sz w:val="12"/>
          <w:szCs w:val="12"/>
        </w:rPr>
      </w:pPr>
      <w:r>
        <w:rPr>
          <w:rFonts w:ascii="Times New Roman" w:hAnsi="Times New Roman"/>
          <w:b/>
          <w:sz w:val="12"/>
          <w:szCs w:val="12"/>
        </w:rPr>
        <w:t xml:space="preserve">NEGATIVNÍ:* </w:t>
      </w:r>
      <w:r>
        <w:rPr>
          <w:rFonts w:ascii="Times New Roman" w:hAnsi="Times New Roman"/>
          <w:b/>
          <w:spacing w:val="-4"/>
          <w:sz w:val="12"/>
          <w:szCs w:val="12"/>
        </w:rPr>
        <w:t>Objeví se dvě čárky</w:t>
      </w:r>
      <w:r>
        <w:rPr>
          <w:rFonts w:ascii="Times New Roman" w:hAnsi="Times New Roman"/>
          <w:spacing w:val="-4"/>
          <w:sz w:val="12"/>
          <w:szCs w:val="12"/>
        </w:rPr>
        <w:t xml:space="preserve">. </w:t>
      </w:r>
      <w:r>
        <w:rPr>
          <w:rFonts w:ascii="Times New Roman" w:hAnsi="Times New Roman"/>
          <w:sz w:val="12"/>
          <w:szCs w:val="12"/>
        </w:rPr>
        <w:t xml:space="preserve">Jedna červená čárka by měla být v kontrolní oblasti (C) a další zřetelná červená nebo růžová čárka by měla být v testovací oblasti (/T). </w:t>
      </w:r>
      <w:r>
        <w:rPr>
          <w:rFonts w:ascii="Times New Roman" w:hAnsi="Times New Roman"/>
          <w:spacing w:val="-4"/>
          <w:sz w:val="12"/>
          <w:szCs w:val="12"/>
        </w:rPr>
        <w:t>Tento negativní výsledek znamená, že koncentrace drogy je pod detekovatelnou úrovní.</w:t>
      </w:r>
    </w:p>
    <w:p w:rsidR="00EE7251" w:rsidRDefault="007270C2">
      <w:pPr>
        <w:overflowPunct w:val="0"/>
        <w:autoSpaceDE w:val="0"/>
        <w:autoSpaceDN w:val="0"/>
        <w:adjustRightInd w:val="0"/>
        <w:spacing w:line="0" w:lineRule="atLeast"/>
        <w:textAlignment w:val="baseline"/>
        <w:rPr>
          <w:rFonts w:ascii="Times New Roman" w:hAnsi="Times New Roman"/>
          <w:sz w:val="12"/>
          <w:szCs w:val="12"/>
        </w:rPr>
      </w:pPr>
      <w:r>
        <w:rPr>
          <w:rFonts w:ascii="Times New Roman" w:hAnsi="Times New Roman"/>
          <w:b/>
          <w:sz w:val="12"/>
          <w:szCs w:val="12"/>
        </w:rPr>
        <w:t xml:space="preserve">*POZNÁMKA: </w:t>
      </w:r>
      <w:r>
        <w:rPr>
          <w:rFonts w:ascii="Times New Roman" w:hAnsi="Times New Roman"/>
          <w:sz w:val="12"/>
          <w:szCs w:val="12"/>
        </w:rPr>
        <w:t>Odstín červené barvy v testovací oblasti (T) se může lišit, ale výsledek by měl být považován za negativní, i když je čára jen slabě růžová.</w:t>
      </w:r>
    </w:p>
    <w:p w:rsidR="00EE7251" w:rsidRDefault="007270C2">
      <w:pPr>
        <w:overflowPunct w:val="0"/>
        <w:autoSpaceDE w:val="0"/>
        <w:autoSpaceDN w:val="0"/>
        <w:adjustRightInd w:val="0"/>
        <w:spacing w:line="0" w:lineRule="atLeast"/>
        <w:textAlignment w:val="baseline"/>
        <w:rPr>
          <w:rFonts w:ascii="Times New Roman" w:hAnsi="Times New Roman"/>
          <w:sz w:val="12"/>
          <w:szCs w:val="12"/>
        </w:rPr>
      </w:pPr>
      <w:r>
        <w:rPr>
          <w:rFonts w:ascii="Times New Roman" w:hAnsi="Times New Roman"/>
          <w:b/>
          <w:sz w:val="12"/>
          <w:szCs w:val="12"/>
        </w:rPr>
        <w:t xml:space="preserve">POZITIVNÍ: </w:t>
      </w:r>
      <w:r>
        <w:rPr>
          <w:rFonts w:ascii="Times New Roman" w:eastAsia="??¨??" w:hAnsi="Times New Roman"/>
          <w:b/>
          <w:sz w:val="12"/>
          <w:szCs w:val="12"/>
        </w:rPr>
        <w:t xml:space="preserve">V kontrolní oblasti (C) se objeví jedna červená čárka. </w:t>
      </w:r>
      <w:r>
        <w:rPr>
          <w:rFonts w:ascii="Times New Roman" w:eastAsia="??¨??" w:hAnsi="Times New Roman"/>
          <w:sz w:val="12"/>
          <w:szCs w:val="12"/>
        </w:rPr>
        <w:t xml:space="preserve">V testovací oblasti (T) se neobjeví žádná čárka. </w:t>
      </w:r>
      <w:r>
        <w:rPr>
          <w:rFonts w:ascii="Times New Roman" w:hAnsi="Times New Roman"/>
          <w:sz w:val="12"/>
          <w:szCs w:val="12"/>
        </w:rPr>
        <w:t>Tento pozitivní výsledek znamená, že koncentrace drogy je nad detekovatelnou úrovní.</w:t>
      </w:r>
    </w:p>
    <w:p w:rsidR="00EE7251" w:rsidRDefault="007270C2">
      <w:pPr>
        <w:overflowPunct w:val="0"/>
        <w:autoSpaceDE w:val="0"/>
        <w:autoSpaceDN w:val="0"/>
        <w:adjustRightInd w:val="0"/>
        <w:spacing w:line="0" w:lineRule="atLeast"/>
        <w:textAlignment w:val="baseline"/>
        <w:rPr>
          <w:rFonts w:ascii="Times New Roman" w:hAnsi="Times New Roman"/>
          <w:sz w:val="12"/>
          <w:szCs w:val="12"/>
        </w:rPr>
      </w:pPr>
      <w:r>
        <w:rPr>
          <w:rFonts w:ascii="Times New Roman" w:hAnsi="Times New Roman"/>
          <w:b/>
          <w:sz w:val="12"/>
          <w:szCs w:val="12"/>
        </w:rPr>
        <w:t xml:space="preserve">NEPLATNÝ: Kontrolní čára se neobjeví. </w:t>
      </w:r>
      <w:r>
        <w:rPr>
          <w:rFonts w:ascii="Times New Roman" w:hAnsi="Times New Roman"/>
          <w:sz w:val="12"/>
          <w:szCs w:val="12"/>
        </w:rPr>
        <w:t>Nejpravděpodobnějšími důvody pro neobjevení se kontrolní čáry jsou nedostatečný objem vzorku nebo nesprávné postupy. Zkontrolujte postup a opakujte test s použitím nové testovací kazety. Pokud problém přetrvává, okamžitě přestaňte používat danou šarži a kontaktujte výrobce.</w:t>
      </w:r>
    </w:p>
    <w:p w:rsidR="00EE7251" w:rsidRDefault="007270C2">
      <w:pPr>
        <w:pStyle w:val="Heading2"/>
        <w:shd w:val="clear" w:color="auto" w:fill="000000"/>
        <w:spacing w:before="80" w:after="80" w:line="0" w:lineRule="atLeast"/>
        <w:jc w:val="center"/>
        <w:rPr>
          <w:rFonts w:ascii="Times New Roman" w:hAnsi="Times New Roman"/>
          <w:sz w:val="12"/>
          <w:szCs w:val="12"/>
        </w:rPr>
      </w:pPr>
      <w:r>
        <w:rPr>
          <w:rFonts w:ascii="Times New Roman" w:hAnsi="Times New Roman"/>
          <w:sz w:val="12"/>
          <w:szCs w:val="12"/>
        </w:rPr>
        <w:t>KONTROLA KVALITY</w:t>
      </w:r>
    </w:p>
    <w:p w:rsidR="00EE7251" w:rsidRDefault="007270C2">
      <w:pPr>
        <w:pStyle w:val="BodyText2"/>
        <w:spacing w:beforeLines="10" w:before="24" w:afterLines="10" w:after="24" w:line="0" w:lineRule="atLeast"/>
        <w:rPr>
          <w:rFonts w:ascii="Times New Roman" w:hAnsi="Times New Roman"/>
          <w:color w:val="auto"/>
          <w:sz w:val="12"/>
          <w:szCs w:val="12"/>
        </w:rPr>
      </w:pPr>
      <w:r>
        <w:rPr>
          <w:rFonts w:ascii="Times New Roman" w:hAnsi="Times New Roman"/>
          <w:color w:val="auto"/>
          <w:sz w:val="12"/>
          <w:szCs w:val="12"/>
        </w:rPr>
        <w:t xml:space="preserve">Součástí testu je kontrola postupu. Barevná čára, která se objeví v oblasti kontrolní čáry (C), se považuje za interní kontrolu postupu. Potvrzuje dostatečný objem vzorku, adekvátní savost membrány a správnou techniku provedení. </w:t>
      </w:r>
    </w:p>
    <w:p w:rsidR="00EE7251" w:rsidRDefault="007270C2">
      <w:pPr>
        <w:pStyle w:val="BodyText2"/>
        <w:spacing w:beforeLines="10" w:before="24" w:afterLines="10" w:after="24" w:line="0" w:lineRule="atLeast"/>
        <w:rPr>
          <w:rFonts w:ascii="Times New Roman" w:hAnsi="Times New Roman"/>
          <w:color w:val="auto"/>
          <w:sz w:val="12"/>
          <w:szCs w:val="12"/>
          <w:lang w:eastAsia="zh-CN"/>
        </w:rPr>
      </w:pPr>
      <w:r>
        <w:rPr>
          <w:rFonts w:ascii="Times New Roman" w:hAnsi="Times New Roman"/>
          <w:color w:val="auto"/>
          <w:sz w:val="12"/>
          <w:szCs w:val="12"/>
          <w:lang w:eastAsia="zh-CN"/>
        </w:rPr>
        <w:t>Kontrolní standardy nejsou součástí této soupravy; doporučuje se však testovat pozitivní a negativní kontroly jako součást správné laboratorní praxe, aby se potvrdil postup testu a ověřila správná funkčnost testu.</w:t>
      </w:r>
    </w:p>
    <w:p w:rsidR="00EE7251" w:rsidRDefault="007270C2">
      <w:pPr>
        <w:pStyle w:val="Heading2"/>
        <w:shd w:val="clear" w:color="auto" w:fill="000000"/>
        <w:spacing w:before="80" w:after="80" w:line="0" w:lineRule="atLeast"/>
        <w:jc w:val="center"/>
        <w:rPr>
          <w:rFonts w:ascii="Times New Roman" w:hAnsi="Times New Roman"/>
          <w:sz w:val="12"/>
          <w:szCs w:val="12"/>
        </w:rPr>
      </w:pPr>
      <w:r>
        <w:rPr>
          <w:rFonts w:ascii="Times New Roman" w:hAnsi="Times New Roman"/>
          <w:sz w:val="12"/>
          <w:szCs w:val="12"/>
        </w:rPr>
        <w:t>OMEZENÍ</w:t>
      </w:r>
    </w:p>
    <w:p w:rsidR="00EE7251" w:rsidRDefault="007270C2">
      <w:pPr>
        <w:numPr>
          <w:ilvl w:val="0"/>
          <w:numId w:val="4"/>
        </w:numPr>
        <w:spacing w:beforeLines="10" w:before="24" w:line="0" w:lineRule="atLeast"/>
        <w:ind w:left="227" w:hanging="227"/>
        <w:rPr>
          <w:rFonts w:ascii="Times New Roman" w:hAnsi="Times New Roman"/>
          <w:color w:val="000000"/>
          <w:sz w:val="12"/>
          <w:szCs w:val="12"/>
        </w:rPr>
      </w:pPr>
      <w:r>
        <w:rPr>
          <w:rFonts w:ascii="Times New Roman" w:hAnsi="Times New Roman"/>
          <w:sz w:val="12"/>
          <w:szCs w:val="12"/>
        </w:rPr>
        <w:t xml:space="preserve">Testovací proužek One Step Drugs of Abuse Test Dip Card (moč) poskytuje pouze kvalitativní, předběžný analytický výsledek. </w:t>
      </w:r>
      <w:r>
        <w:rPr>
          <w:rFonts w:ascii="Times New Roman" w:hAnsi="Times New Roman"/>
          <w:color w:val="000000"/>
          <w:sz w:val="12"/>
          <w:szCs w:val="12"/>
        </w:rPr>
        <w:t xml:space="preserve">K získání potvrzeného výsledku </w:t>
      </w:r>
      <w:r>
        <w:rPr>
          <w:rFonts w:ascii="Times New Roman" w:hAnsi="Times New Roman"/>
          <w:sz w:val="12"/>
          <w:szCs w:val="12"/>
        </w:rPr>
        <w:t>je nutné použít sekundární analytickou metodu</w:t>
      </w:r>
      <w:r>
        <w:rPr>
          <w:rFonts w:ascii="Times New Roman" w:hAnsi="Times New Roman"/>
          <w:color w:val="000000"/>
          <w:sz w:val="12"/>
          <w:szCs w:val="12"/>
        </w:rPr>
        <w:t>. Preferovanou potvrzovací metodou je plynová chromatografie/hmotnostní spektrometrie (GC/MS).</w:t>
      </w:r>
    </w:p>
    <w:p w:rsidR="00EE7251" w:rsidRDefault="007270C2">
      <w:pPr>
        <w:numPr>
          <w:ilvl w:val="0"/>
          <w:numId w:val="4"/>
        </w:numPr>
        <w:spacing w:line="0" w:lineRule="atLeast"/>
        <w:ind w:left="227" w:hanging="227"/>
        <w:rPr>
          <w:rFonts w:ascii="Times New Roman" w:hAnsi="Times New Roman"/>
          <w:sz w:val="12"/>
          <w:szCs w:val="12"/>
        </w:rPr>
      </w:pPr>
      <w:r>
        <w:rPr>
          <w:rFonts w:ascii="Times New Roman" w:hAnsi="Times New Roman"/>
          <w:color w:val="000000"/>
          <w:sz w:val="12"/>
          <w:szCs w:val="12"/>
        </w:rPr>
        <w:t xml:space="preserve">Existuje možnost, že technické nebo procedurální chyby, stejně jako jiné rušivé látky </w:t>
      </w:r>
      <w:r>
        <w:rPr>
          <w:rFonts w:ascii="Times New Roman" w:hAnsi="Times New Roman"/>
          <w:sz w:val="12"/>
          <w:szCs w:val="12"/>
        </w:rPr>
        <w:t>ve vzorku moči, mohou způsobit chybné výsledky.</w:t>
      </w:r>
    </w:p>
    <w:p w:rsidR="00EE7251" w:rsidRDefault="007270C2">
      <w:pPr>
        <w:numPr>
          <w:ilvl w:val="0"/>
          <w:numId w:val="4"/>
        </w:numPr>
        <w:spacing w:line="0" w:lineRule="atLeast"/>
        <w:ind w:left="227" w:hanging="227"/>
        <w:rPr>
          <w:rFonts w:ascii="Times New Roman" w:hAnsi="Times New Roman"/>
          <w:sz w:val="12"/>
          <w:szCs w:val="12"/>
        </w:rPr>
      </w:pPr>
      <w:r>
        <w:rPr>
          <w:rFonts w:ascii="Times New Roman" w:hAnsi="Times New Roman"/>
          <w:sz w:val="12"/>
          <w:szCs w:val="12"/>
        </w:rPr>
        <w:t>Přísady, jako je bělidlo a/nebo kamenec, v močových vzorcích mohou způsobit chybné výsledky bez ohledu na použitou analytickou metodu. Pokud existuje podezření na falšování, měl by být test opakován s jiným močovým vzorkem.</w:t>
      </w:r>
    </w:p>
    <w:p w:rsidR="00EE7251" w:rsidRDefault="007270C2">
      <w:pPr>
        <w:numPr>
          <w:ilvl w:val="0"/>
          <w:numId w:val="4"/>
        </w:numPr>
        <w:spacing w:line="0" w:lineRule="atLeast"/>
        <w:ind w:left="227" w:hanging="227"/>
        <w:rPr>
          <w:rFonts w:ascii="Times New Roman" w:hAnsi="Times New Roman"/>
          <w:sz w:val="12"/>
          <w:szCs w:val="12"/>
        </w:rPr>
      </w:pPr>
      <w:r>
        <w:rPr>
          <w:rFonts w:ascii="Times New Roman" w:hAnsi="Times New Roman"/>
          <w:sz w:val="12"/>
          <w:szCs w:val="12"/>
        </w:rPr>
        <w:t>Pozitivní výsledek neindikuje hladinu ani intoxikaci, cestu podání ani koncentraci v moči.</w:t>
      </w:r>
    </w:p>
    <w:p w:rsidR="00EE7251" w:rsidRDefault="007270C2">
      <w:pPr>
        <w:numPr>
          <w:ilvl w:val="0"/>
          <w:numId w:val="4"/>
        </w:numPr>
        <w:spacing w:line="0" w:lineRule="atLeast"/>
        <w:ind w:left="227" w:hanging="227"/>
        <w:rPr>
          <w:rFonts w:ascii="Times New Roman" w:hAnsi="Times New Roman"/>
          <w:sz w:val="12"/>
          <w:szCs w:val="12"/>
        </w:rPr>
      </w:pPr>
      <w:r>
        <w:rPr>
          <w:rFonts w:ascii="Times New Roman" w:hAnsi="Times New Roman"/>
          <w:sz w:val="12"/>
          <w:szCs w:val="12"/>
        </w:rPr>
        <w:t>Negativní výsledek nemusí nutně znamenat, že moč neobsahuje drogy. Negativní výsledek může být zaznamenán i v případě, že je droga přítomna, ale její koncentrace je nižší než mezní hodnota testu.</w:t>
      </w:r>
    </w:p>
    <w:p w:rsidR="00EE7251" w:rsidRDefault="007270C2">
      <w:pPr>
        <w:numPr>
          <w:ilvl w:val="0"/>
          <w:numId w:val="4"/>
        </w:numPr>
        <w:spacing w:line="0" w:lineRule="atLeast"/>
        <w:ind w:left="227" w:hanging="227"/>
        <w:rPr>
          <w:rFonts w:ascii="Times New Roman" w:hAnsi="Times New Roman"/>
          <w:sz w:val="12"/>
          <w:szCs w:val="12"/>
        </w:rPr>
      </w:pPr>
      <w:r>
        <w:rPr>
          <w:rFonts w:ascii="Times New Roman" w:hAnsi="Times New Roman"/>
          <w:sz w:val="12"/>
          <w:szCs w:val="12"/>
        </w:rPr>
        <w:t>Test nerozlišuje mezi drogami a některými léky.</w:t>
      </w:r>
    </w:p>
    <w:p w:rsidR="00EE7251" w:rsidRDefault="007270C2">
      <w:pPr>
        <w:numPr>
          <w:ilvl w:val="0"/>
          <w:numId w:val="4"/>
        </w:numPr>
        <w:spacing w:afterLines="10" w:after="24" w:line="0" w:lineRule="atLeast"/>
        <w:ind w:left="227" w:hanging="227"/>
        <w:rPr>
          <w:rFonts w:ascii="Times New Roman" w:hAnsi="Times New Roman"/>
          <w:spacing w:val="-6"/>
          <w:sz w:val="12"/>
          <w:szCs w:val="12"/>
        </w:rPr>
      </w:pPr>
      <w:r>
        <w:rPr>
          <w:rFonts w:ascii="Times New Roman" w:hAnsi="Times New Roman"/>
          <w:sz w:val="12"/>
          <w:szCs w:val="12"/>
        </w:rPr>
        <w:t>Pozitivní výsledek může být způsoben určitými potravinami nebo doplňky stravy.</w:t>
      </w:r>
    </w:p>
    <w:p w:rsidR="00EE7251" w:rsidRDefault="007270C2">
      <w:pPr>
        <w:pStyle w:val="Heading2"/>
        <w:shd w:val="clear" w:color="auto" w:fill="000000"/>
        <w:spacing w:before="80" w:after="80" w:line="0" w:lineRule="atLeast"/>
        <w:jc w:val="center"/>
        <w:rPr>
          <w:rFonts w:ascii="Times New Roman" w:hAnsi="Times New Roman"/>
          <w:sz w:val="12"/>
          <w:szCs w:val="12"/>
        </w:rPr>
      </w:pPr>
      <w:r>
        <w:rPr>
          <w:rFonts w:ascii="Times New Roman" w:hAnsi="Times New Roman"/>
          <w:sz w:val="12"/>
          <w:szCs w:val="12"/>
        </w:rPr>
        <w:t>VÝKONOVÉ CHARAKTERISTIKY</w:t>
      </w:r>
    </w:p>
    <w:p w:rsidR="00EE7251" w:rsidRDefault="007270C2">
      <w:pPr>
        <w:pStyle w:val="Heading8"/>
        <w:spacing w:before="80" w:after="80" w:line="0" w:lineRule="atLeast"/>
        <w:rPr>
          <w:rFonts w:ascii="Times New Roman" w:hAnsi="Times New Roman"/>
          <w:sz w:val="12"/>
          <w:szCs w:val="12"/>
          <w:highlight w:val="black"/>
        </w:rPr>
      </w:pPr>
      <w:bookmarkStart w:id="7" w:name="OLE_LINK5"/>
      <w:r>
        <w:rPr>
          <w:rFonts w:ascii="Times New Roman" w:hAnsi="Times New Roman"/>
          <w:sz w:val="12"/>
          <w:szCs w:val="12"/>
          <w:highlight w:val="black"/>
        </w:rPr>
        <w:t>Přesnost</w:t>
      </w:r>
    </w:p>
    <w:p w:rsidR="00EE7251" w:rsidRDefault="007270C2">
      <w:pPr>
        <w:spacing w:beforeLines="10" w:before="24" w:afterLines="20" w:after="48" w:line="0" w:lineRule="atLeast"/>
        <w:rPr>
          <w:rFonts w:ascii="Times New Roman" w:hAnsi="Times New Roman"/>
          <w:color w:val="000000"/>
          <w:sz w:val="12"/>
          <w:szCs w:val="12"/>
        </w:rPr>
      </w:pPr>
      <w:bookmarkStart w:id="8" w:name="OLE_LINK6"/>
      <w:bookmarkEnd w:id="7"/>
      <w:r>
        <w:rPr>
          <w:rFonts w:ascii="Times New Roman" w:hAnsi="Times New Roman"/>
          <w:color w:val="000000"/>
          <w:sz w:val="12"/>
          <w:szCs w:val="12"/>
        </w:rPr>
        <w:t xml:space="preserve">Bylo analyzováno 80 klinických vzorků moči pomocí GC-MS a pomocí </w:t>
      </w:r>
      <w:r>
        <w:rPr>
          <w:rFonts w:ascii="Times New Roman" w:hAnsi="Times New Roman"/>
          <w:b/>
          <w:color w:val="000000"/>
          <w:sz w:val="12"/>
          <w:szCs w:val="12"/>
        </w:rPr>
        <w:t>testovacího prouž</w:t>
      </w:r>
      <w:r>
        <w:rPr>
          <w:rFonts w:ascii="Times New Roman" w:hAnsi="Times New Roman"/>
          <w:color w:val="000000"/>
          <w:sz w:val="12"/>
          <w:szCs w:val="12"/>
        </w:rPr>
        <w:t xml:space="preserve">ku </w:t>
      </w:r>
      <w:r>
        <w:rPr>
          <w:rFonts w:ascii="Times New Roman" w:hAnsi="Times New Roman"/>
          <w:b/>
          <w:color w:val="000000"/>
          <w:sz w:val="12"/>
          <w:szCs w:val="12"/>
        </w:rPr>
        <w:t xml:space="preserve">One Step Multi-Drug Screen Test Dip Card </w:t>
      </w:r>
      <w:r>
        <w:rPr>
          <w:rFonts w:ascii="Times New Roman" w:hAnsi="Times New Roman"/>
          <w:b/>
          <w:bCs/>
          <w:color w:val="000000"/>
          <w:sz w:val="12"/>
          <w:szCs w:val="12"/>
        </w:rPr>
        <w:t>(moč)</w:t>
      </w:r>
      <w:r>
        <w:rPr>
          <w:rFonts w:ascii="Times New Roman" w:hAnsi="Times New Roman"/>
          <w:color w:val="000000"/>
          <w:sz w:val="12"/>
          <w:szCs w:val="12"/>
        </w:rPr>
        <w:t>. Každý test provedli tři operátoři. Vzorky byly rozděleny podle koncentrace do pěti kategorií: bez drog, méně než polovina mezní hodnoty, téměř negativní, téměř pozitivní a vysoce pozitivní. Výsledky byly následující:</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673"/>
        <w:gridCol w:w="607"/>
        <w:gridCol w:w="606"/>
        <w:gridCol w:w="602"/>
        <w:gridCol w:w="604"/>
        <w:gridCol w:w="604"/>
        <w:gridCol w:w="603"/>
        <w:gridCol w:w="598"/>
      </w:tblGrid>
      <w:tr w:rsidR="00872005" w:rsidTr="006239F1">
        <w:trPr>
          <w:trHeight w:val="20"/>
          <w:jc w:val="center"/>
        </w:trPr>
        <w:tc>
          <w:tcPr>
            <w:tcW w:w="673" w:type="dxa"/>
            <w:tcMar>
              <w:left w:w="28" w:type="dxa"/>
              <w:right w:w="28" w:type="dxa"/>
            </w:tcMar>
            <w:vAlign w:val="center"/>
          </w:tcPr>
          <w:bookmarkEnd w:id="8"/>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lastRenderedPageBreak/>
              <w:t>Vzorek</w:t>
            </w:r>
          </w:p>
        </w:tc>
        <w:tc>
          <w:tcPr>
            <w:tcW w:w="607"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ACE</w:t>
            </w:r>
          </w:p>
        </w:tc>
        <w:tc>
          <w:tcPr>
            <w:tcW w:w="60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AMP</w:t>
            </w:r>
          </w:p>
        </w:tc>
        <w:tc>
          <w:tcPr>
            <w:tcW w:w="602"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AMP 500</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AMP 300</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BAR</w:t>
            </w:r>
          </w:p>
        </w:tc>
        <w:tc>
          <w:tcPr>
            <w:tcW w:w="60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BAR 200</w:t>
            </w:r>
          </w:p>
        </w:tc>
        <w:tc>
          <w:tcPr>
            <w:tcW w:w="59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BUP</w:t>
            </w:r>
          </w:p>
        </w:tc>
      </w:tr>
      <w:tr w:rsidR="00872005" w:rsidTr="006239F1">
        <w:trPr>
          <w:trHeight w:val="20"/>
          <w:jc w:val="center"/>
        </w:trPr>
        <w:tc>
          <w:tcPr>
            <w:tcW w:w="67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Pozitivní</w:t>
            </w:r>
          </w:p>
        </w:tc>
        <w:tc>
          <w:tcPr>
            <w:tcW w:w="607"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94,2 %</w:t>
            </w:r>
          </w:p>
        </w:tc>
        <w:tc>
          <w:tcPr>
            <w:tcW w:w="60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91,7 %</w:t>
            </w:r>
          </w:p>
        </w:tc>
        <w:tc>
          <w:tcPr>
            <w:tcW w:w="602"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95,8 %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96,7 %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92,5 %</w:t>
            </w:r>
          </w:p>
        </w:tc>
        <w:tc>
          <w:tcPr>
            <w:tcW w:w="60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94,2 %</w:t>
            </w:r>
          </w:p>
        </w:tc>
        <w:tc>
          <w:tcPr>
            <w:tcW w:w="59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93,3 %</w:t>
            </w:r>
          </w:p>
        </w:tc>
      </w:tr>
      <w:tr w:rsidR="00872005" w:rsidTr="006239F1">
        <w:trPr>
          <w:trHeight w:val="20"/>
          <w:jc w:val="center"/>
        </w:trPr>
        <w:tc>
          <w:tcPr>
            <w:tcW w:w="67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Záporné</w:t>
            </w:r>
          </w:p>
        </w:tc>
        <w:tc>
          <w:tcPr>
            <w:tcW w:w="607"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60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602"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60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9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r>
      <w:tr w:rsidR="00872005" w:rsidTr="006239F1">
        <w:trPr>
          <w:trHeight w:val="20"/>
          <w:jc w:val="center"/>
        </w:trPr>
        <w:tc>
          <w:tcPr>
            <w:tcW w:w="67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Celkem</w:t>
            </w:r>
          </w:p>
        </w:tc>
        <w:tc>
          <w:tcPr>
            <w:tcW w:w="607"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97,1 %</w:t>
            </w:r>
          </w:p>
        </w:tc>
        <w:tc>
          <w:tcPr>
            <w:tcW w:w="60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95,8 %</w:t>
            </w:r>
          </w:p>
        </w:tc>
        <w:tc>
          <w:tcPr>
            <w:tcW w:w="602"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97,9 %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98,3 %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96,3 %</w:t>
            </w:r>
          </w:p>
        </w:tc>
        <w:tc>
          <w:tcPr>
            <w:tcW w:w="60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97,1 %</w:t>
            </w:r>
          </w:p>
        </w:tc>
        <w:tc>
          <w:tcPr>
            <w:tcW w:w="59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96,7 %</w:t>
            </w:r>
          </w:p>
        </w:tc>
      </w:tr>
    </w:tbl>
    <w:p w:rsidR="00ED79DB" w:rsidRPr="00ED79DB" w:rsidRDefault="00ED79DB" w:rsidP="00ED79DB">
      <w:pPr>
        <w:spacing w:line="120" w:lineRule="exact"/>
        <w:rPr>
          <w:rFonts w:ascii="Times New Roman" w:hAnsi="Times New Roman"/>
          <w:sz w:val="12"/>
          <w:szCs w:val="12"/>
          <w:highlight w:val="yell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673"/>
        <w:gridCol w:w="607"/>
        <w:gridCol w:w="606"/>
        <w:gridCol w:w="602"/>
        <w:gridCol w:w="604"/>
        <w:gridCol w:w="604"/>
        <w:gridCol w:w="603"/>
        <w:gridCol w:w="598"/>
      </w:tblGrid>
      <w:tr w:rsidR="00872005" w:rsidTr="006239F1">
        <w:trPr>
          <w:trHeight w:val="20"/>
          <w:jc w:val="center"/>
        </w:trPr>
        <w:tc>
          <w:tcPr>
            <w:tcW w:w="67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Vzorek</w:t>
            </w:r>
          </w:p>
        </w:tc>
        <w:tc>
          <w:tcPr>
            <w:tcW w:w="607"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BZO</w:t>
            </w:r>
          </w:p>
        </w:tc>
        <w:tc>
          <w:tcPr>
            <w:tcW w:w="60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BZO 200</w:t>
            </w:r>
          </w:p>
        </w:tc>
        <w:tc>
          <w:tcPr>
            <w:tcW w:w="602"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COC</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COC 150</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COT</w:t>
            </w:r>
          </w:p>
        </w:tc>
        <w:tc>
          <w:tcPr>
            <w:tcW w:w="60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CLO</w:t>
            </w:r>
          </w:p>
        </w:tc>
        <w:tc>
          <w:tcPr>
            <w:tcW w:w="59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MDMA</w:t>
            </w:r>
          </w:p>
        </w:tc>
      </w:tr>
      <w:tr w:rsidR="00872005" w:rsidTr="006239F1">
        <w:trPr>
          <w:trHeight w:val="20"/>
          <w:jc w:val="center"/>
        </w:trPr>
        <w:tc>
          <w:tcPr>
            <w:tcW w:w="67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Pozitivní</w:t>
            </w:r>
          </w:p>
        </w:tc>
        <w:tc>
          <w:tcPr>
            <w:tcW w:w="607"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91,7 %</w:t>
            </w:r>
          </w:p>
        </w:tc>
        <w:tc>
          <w:tcPr>
            <w:tcW w:w="60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92,5 %</w:t>
            </w:r>
          </w:p>
        </w:tc>
        <w:tc>
          <w:tcPr>
            <w:tcW w:w="602"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96,7 %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95,0 %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92,5 %</w:t>
            </w:r>
          </w:p>
        </w:tc>
        <w:tc>
          <w:tcPr>
            <w:tcW w:w="60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93,3 %</w:t>
            </w:r>
          </w:p>
        </w:tc>
        <w:tc>
          <w:tcPr>
            <w:tcW w:w="59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95,0 %</w:t>
            </w:r>
          </w:p>
        </w:tc>
      </w:tr>
      <w:tr w:rsidR="00872005" w:rsidTr="006239F1">
        <w:trPr>
          <w:trHeight w:val="20"/>
          <w:jc w:val="center"/>
        </w:trPr>
        <w:tc>
          <w:tcPr>
            <w:tcW w:w="67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Záporné</w:t>
            </w:r>
          </w:p>
        </w:tc>
        <w:tc>
          <w:tcPr>
            <w:tcW w:w="607"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60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602"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60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9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r>
      <w:tr w:rsidR="00872005" w:rsidTr="006239F1">
        <w:trPr>
          <w:trHeight w:val="20"/>
          <w:jc w:val="center"/>
        </w:trPr>
        <w:tc>
          <w:tcPr>
            <w:tcW w:w="67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Celkem</w:t>
            </w:r>
          </w:p>
        </w:tc>
        <w:tc>
          <w:tcPr>
            <w:tcW w:w="607"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95,8 %</w:t>
            </w:r>
          </w:p>
        </w:tc>
        <w:tc>
          <w:tcPr>
            <w:tcW w:w="60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96,3 %</w:t>
            </w:r>
          </w:p>
        </w:tc>
        <w:tc>
          <w:tcPr>
            <w:tcW w:w="602"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98,3 %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97,5 %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96,3 %</w:t>
            </w:r>
          </w:p>
        </w:tc>
        <w:tc>
          <w:tcPr>
            <w:tcW w:w="60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96,7 %</w:t>
            </w:r>
          </w:p>
        </w:tc>
        <w:tc>
          <w:tcPr>
            <w:tcW w:w="59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97,5 %</w:t>
            </w:r>
          </w:p>
        </w:tc>
      </w:tr>
    </w:tbl>
    <w:p w:rsidR="00ED79DB" w:rsidRPr="00ED79DB" w:rsidRDefault="00ED79DB" w:rsidP="00ED79DB">
      <w:pPr>
        <w:spacing w:line="120" w:lineRule="exact"/>
        <w:rPr>
          <w:rFonts w:ascii="Times New Roman" w:hAnsi="Times New Roman"/>
          <w:sz w:val="12"/>
          <w:szCs w:val="12"/>
          <w:highlight w:val="yell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674"/>
        <w:gridCol w:w="772"/>
        <w:gridCol w:w="575"/>
        <w:gridCol w:w="575"/>
        <w:gridCol w:w="575"/>
        <w:gridCol w:w="575"/>
        <w:gridCol w:w="575"/>
        <w:gridCol w:w="577"/>
      </w:tblGrid>
      <w:tr w:rsidR="00872005" w:rsidTr="006239F1">
        <w:trPr>
          <w:trHeight w:val="20"/>
          <w:jc w:val="center"/>
        </w:trPr>
        <w:tc>
          <w:tcPr>
            <w:tcW w:w="674" w:type="dxa"/>
            <w:tcMar>
              <w:left w:w="28" w:type="dxa"/>
              <w:right w:w="28" w:type="dxa"/>
            </w:tcMar>
            <w:vAlign w:val="center"/>
          </w:tcPr>
          <w:p w:rsidR="00ED79DB" w:rsidRPr="00ED79DB" w:rsidRDefault="007270C2" w:rsidP="006239F1">
            <w:pPr>
              <w:spacing w:beforeLines="10" w:before="24" w:afterLines="10" w:after="24" w:line="0" w:lineRule="atLeast"/>
              <w:jc w:val="center"/>
              <w:rPr>
                <w:rFonts w:ascii="Times New Roman" w:hAnsi="Times New Roman"/>
                <w:b/>
                <w:sz w:val="12"/>
                <w:szCs w:val="12"/>
              </w:rPr>
            </w:pPr>
            <w:r w:rsidRPr="00ED79DB">
              <w:rPr>
                <w:rFonts w:ascii="Times New Roman" w:hAnsi="Times New Roman"/>
                <w:b/>
                <w:sz w:val="12"/>
                <w:szCs w:val="12"/>
              </w:rPr>
              <w:t>Vzorek</w:t>
            </w:r>
          </w:p>
        </w:tc>
        <w:tc>
          <w:tcPr>
            <w:tcW w:w="772" w:type="dxa"/>
            <w:tcMar>
              <w:left w:w="28" w:type="dxa"/>
              <w:right w:w="28" w:type="dxa"/>
            </w:tcMar>
            <w:vAlign w:val="center"/>
          </w:tcPr>
          <w:p w:rsidR="00ED79DB" w:rsidRPr="00ED79DB" w:rsidRDefault="007270C2" w:rsidP="006239F1">
            <w:pPr>
              <w:spacing w:beforeLines="10" w:before="24" w:afterLines="10" w:after="24" w:line="0" w:lineRule="atLeast"/>
              <w:jc w:val="center"/>
              <w:rPr>
                <w:rFonts w:ascii="Times New Roman" w:hAnsi="Times New Roman"/>
                <w:b/>
                <w:sz w:val="12"/>
                <w:szCs w:val="12"/>
              </w:rPr>
            </w:pPr>
            <w:r w:rsidRPr="00ED79DB">
              <w:rPr>
                <w:rFonts w:ascii="Times New Roman" w:hAnsi="Times New Roman"/>
                <w:b/>
                <w:sz w:val="12"/>
                <w:szCs w:val="12"/>
              </w:rPr>
              <w:t>MDMA 2000</w:t>
            </w:r>
          </w:p>
        </w:tc>
        <w:tc>
          <w:tcPr>
            <w:tcW w:w="575" w:type="dxa"/>
            <w:tcMar>
              <w:left w:w="28" w:type="dxa"/>
              <w:right w:w="28" w:type="dxa"/>
            </w:tcMar>
            <w:vAlign w:val="center"/>
          </w:tcPr>
          <w:p w:rsidR="00ED79DB" w:rsidRPr="00ED79DB" w:rsidRDefault="007270C2" w:rsidP="006239F1">
            <w:pPr>
              <w:spacing w:beforeLines="10" w:before="24" w:afterLines="10" w:after="24" w:line="0" w:lineRule="atLeast"/>
              <w:jc w:val="center"/>
              <w:rPr>
                <w:rFonts w:ascii="Times New Roman" w:hAnsi="Times New Roman"/>
                <w:b/>
                <w:sz w:val="12"/>
                <w:szCs w:val="12"/>
              </w:rPr>
            </w:pPr>
            <w:r w:rsidRPr="00ED79DB">
              <w:rPr>
                <w:rFonts w:ascii="Times New Roman" w:hAnsi="Times New Roman"/>
                <w:b/>
                <w:sz w:val="12"/>
                <w:szCs w:val="12"/>
              </w:rPr>
              <w:t>ETG</w:t>
            </w:r>
          </w:p>
        </w:tc>
        <w:tc>
          <w:tcPr>
            <w:tcW w:w="575" w:type="dxa"/>
            <w:tcMar>
              <w:left w:w="28" w:type="dxa"/>
              <w:right w:w="28" w:type="dxa"/>
            </w:tcMar>
            <w:vAlign w:val="center"/>
          </w:tcPr>
          <w:p w:rsidR="00ED79DB" w:rsidRPr="00ED79DB" w:rsidRDefault="007270C2" w:rsidP="006239F1">
            <w:pPr>
              <w:spacing w:beforeLines="10" w:before="24" w:afterLines="10" w:after="24" w:line="0" w:lineRule="atLeast"/>
              <w:jc w:val="center"/>
              <w:rPr>
                <w:rFonts w:ascii="Times New Roman" w:hAnsi="Times New Roman"/>
                <w:b/>
                <w:sz w:val="12"/>
                <w:szCs w:val="12"/>
              </w:rPr>
            </w:pPr>
            <w:r w:rsidRPr="00ED79DB">
              <w:rPr>
                <w:rFonts w:ascii="Times New Roman" w:hAnsi="Times New Roman"/>
                <w:b/>
                <w:sz w:val="12"/>
                <w:szCs w:val="12"/>
              </w:rPr>
              <w:t>ETG 300</w:t>
            </w:r>
          </w:p>
        </w:tc>
        <w:tc>
          <w:tcPr>
            <w:tcW w:w="575" w:type="dxa"/>
            <w:tcMar>
              <w:left w:w="28" w:type="dxa"/>
              <w:right w:w="28" w:type="dxa"/>
            </w:tcMar>
            <w:vAlign w:val="center"/>
          </w:tcPr>
          <w:p w:rsidR="00ED79DB" w:rsidRPr="00ED79DB" w:rsidRDefault="007270C2" w:rsidP="006239F1">
            <w:pPr>
              <w:spacing w:beforeLines="10" w:before="24" w:afterLines="10" w:after="24" w:line="0" w:lineRule="atLeast"/>
              <w:jc w:val="center"/>
              <w:rPr>
                <w:rFonts w:ascii="Times New Roman" w:hAnsi="Times New Roman"/>
                <w:b/>
                <w:sz w:val="12"/>
                <w:szCs w:val="12"/>
              </w:rPr>
            </w:pPr>
            <w:r w:rsidRPr="00ED79DB">
              <w:rPr>
                <w:rFonts w:ascii="Times New Roman" w:hAnsi="Times New Roman"/>
                <w:b/>
                <w:sz w:val="12"/>
                <w:szCs w:val="12"/>
              </w:rPr>
              <w:t>FEN</w:t>
            </w:r>
          </w:p>
        </w:tc>
        <w:tc>
          <w:tcPr>
            <w:tcW w:w="575" w:type="dxa"/>
            <w:tcMar>
              <w:left w:w="28" w:type="dxa"/>
              <w:right w:w="28" w:type="dxa"/>
            </w:tcMar>
            <w:vAlign w:val="center"/>
          </w:tcPr>
          <w:p w:rsidR="00ED79DB" w:rsidRPr="00ED79DB" w:rsidRDefault="007270C2" w:rsidP="006239F1">
            <w:pPr>
              <w:spacing w:beforeLines="10" w:before="24" w:afterLines="10" w:after="24" w:line="0" w:lineRule="atLeast"/>
              <w:jc w:val="center"/>
              <w:rPr>
                <w:rFonts w:ascii="Times New Roman" w:hAnsi="Times New Roman"/>
                <w:b/>
                <w:sz w:val="12"/>
                <w:szCs w:val="12"/>
              </w:rPr>
            </w:pPr>
            <w:r w:rsidRPr="00ED79DB">
              <w:rPr>
                <w:rFonts w:ascii="Times New Roman" w:hAnsi="Times New Roman"/>
                <w:b/>
                <w:sz w:val="12"/>
                <w:szCs w:val="12"/>
              </w:rPr>
              <w:t>FEN 200</w:t>
            </w:r>
          </w:p>
        </w:tc>
        <w:tc>
          <w:tcPr>
            <w:tcW w:w="575" w:type="dxa"/>
            <w:tcMar>
              <w:left w:w="28" w:type="dxa"/>
              <w:right w:w="28" w:type="dxa"/>
            </w:tcMar>
            <w:vAlign w:val="center"/>
          </w:tcPr>
          <w:p w:rsidR="00ED79DB" w:rsidRPr="00ED79DB" w:rsidRDefault="007270C2" w:rsidP="006239F1">
            <w:pPr>
              <w:spacing w:beforeLines="10" w:before="24" w:afterLines="10" w:after="24" w:line="0" w:lineRule="atLeast"/>
              <w:jc w:val="center"/>
              <w:rPr>
                <w:rFonts w:ascii="Times New Roman" w:hAnsi="Times New Roman"/>
                <w:b/>
                <w:sz w:val="12"/>
                <w:szCs w:val="12"/>
              </w:rPr>
            </w:pPr>
            <w:r w:rsidRPr="00ED79DB">
              <w:rPr>
                <w:rFonts w:ascii="Times New Roman" w:hAnsi="Times New Roman"/>
                <w:b/>
                <w:sz w:val="12"/>
                <w:szCs w:val="12"/>
              </w:rPr>
              <w:t>FEN 20</w:t>
            </w:r>
          </w:p>
        </w:tc>
        <w:tc>
          <w:tcPr>
            <w:tcW w:w="577" w:type="dxa"/>
            <w:tcMar>
              <w:left w:w="28" w:type="dxa"/>
              <w:right w:w="28" w:type="dxa"/>
            </w:tcMar>
            <w:vAlign w:val="center"/>
          </w:tcPr>
          <w:p w:rsidR="00ED79DB" w:rsidRPr="00ED79DB" w:rsidRDefault="007270C2" w:rsidP="006239F1">
            <w:pPr>
              <w:spacing w:beforeLines="10" w:before="24" w:afterLines="10" w:after="24" w:line="0" w:lineRule="atLeast"/>
              <w:jc w:val="center"/>
              <w:rPr>
                <w:rFonts w:ascii="Times New Roman" w:hAnsi="Times New Roman"/>
                <w:b/>
                <w:sz w:val="12"/>
                <w:szCs w:val="12"/>
              </w:rPr>
            </w:pPr>
            <w:r w:rsidRPr="00ED79DB">
              <w:rPr>
                <w:rFonts w:ascii="Times New Roman" w:hAnsi="Times New Roman"/>
                <w:b/>
                <w:sz w:val="12"/>
                <w:szCs w:val="12"/>
              </w:rPr>
              <w:t>FEN 10</w:t>
            </w:r>
          </w:p>
        </w:tc>
      </w:tr>
      <w:tr w:rsidR="00872005" w:rsidTr="006239F1">
        <w:trPr>
          <w:trHeight w:val="20"/>
          <w:jc w:val="center"/>
        </w:trPr>
        <w:tc>
          <w:tcPr>
            <w:tcW w:w="67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Pozitivní</w:t>
            </w:r>
          </w:p>
        </w:tc>
        <w:tc>
          <w:tcPr>
            <w:tcW w:w="772"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95,8 %</w:t>
            </w:r>
          </w:p>
        </w:tc>
        <w:tc>
          <w:tcPr>
            <w:tcW w:w="57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95,0 %</w:t>
            </w:r>
          </w:p>
        </w:tc>
        <w:tc>
          <w:tcPr>
            <w:tcW w:w="57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95,8</w:t>
            </w:r>
          </w:p>
        </w:tc>
        <w:tc>
          <w:tcPr>
            <w:tcW w:w="57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97,5 %</w:t>
            </w:r>
          </w:p>
        </w:tc>
        <w:tc>
          <w:tcPr>
            <w:tcW w:w="57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95,8 %</w:t>
            </w:r>
          </w:p>
        </w:tc>
        <w:tc>
          <w:tcPr>
            <w:tcW w:w="57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97,5 %</w:t>
            </w:r>
          </w:p>
        </w:tc>
        <w:tc>
          <w:tcPr>
            <w:tcW w:w="577"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93,3 %</w:t>
            </w:r>
          </w:p>
        </w:tc>
      </w:tr>
      <w:tr w:rsidR="00872005" w:rsidTr="006239F1">
        <w:trPr>
          <w:trHeight w:val="20"/>
          <w:jc w:val="center"/>
        </w:trPr>
        <w:tc>
          <w:tcPr>
            <w:tcW w:w="67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Záporné</w:t>
            </w:r>
          </w:p>
        </w:tc>
        <w:tc>
          <w:tcPr>
            <w:tcW w:w="772"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7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7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7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7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7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77"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r>
      <w:tr w:rsidR="00872005" w:rsidTr="006239F1">
        <w:trPr>
          <w:trHeight w:val="90"/>
          <w:jc w:val="center"/>
        </w:trPr>
        <w:tc>
          <w:tcPr>
            <w:tcW w:w="67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Celkem</w:t>
            </w:r>
          </w:p>
        </w:tc>
        <w:tc>
          <w:tcPr>
            <w:tcW w:w="772"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97,9 %</w:t>
            </w:r>
          </w:p>
        </w:tc>
        <w:tc>
          <w:tcPr>
            <w:tcW w:w="57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97,5 %</w:t>
            </w:r>
          </w:p>
        </w:tc>
        <w:tc>
          <w:tcPr>
            <w:tcW w:w="57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97,9 %</w:t>
            </w:r>
          </w:p>
        </w:tc>
        <w:tc>
          <w:tcPr>
            <w:tcW w:w="57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98,8 %</w:t>
            </w:r>
          </w:p>
        </w:tc>
        <w:tc>
          <w:tcPr>
            <w:tcW w:w="57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97,9 %</w:t>
            </w:r>
          </w:p>
        </w:tc>
        <w:tc>
          <w:tcPr>
            <w:tcW w:w="57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98,8 %</w:t>
            </w:r>
          </w:p>
        </w:tc>
        <w:tc>
          <w:tcPr>
            <w:tcW w:w="577"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96,7 %</w:t>
            </w:r>
          </w:p>
        </w:tc>
      </w:tr>
    </w:tbl>
    <w:p w:rsidR="00ED79DB" w:rsidRPr="00060D89" w:rsidRDefault="00ED79DB" w:rsidP="00ED79DB">
      <w:pPr>
        <w:spacing w:line="120" w:lineRule="exact"/>
        <w:rPr>
          <w:rFonts w:ascii="Times New Roman" w:hAnsi="Times New Roman"/>
          <w:color w:val="000000"/>
          <w:sz w:val="12"/>
          <w:szCs w:val="12"/>
        </w:rPr>
      </w:pPr>
    </w:p>
    <w:tbl>
      <w:tblPr>
        <w:tblW w:w="48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674"/>
        <w:gridCol w:w="607"/>
        <w:gridCol w:w="606"/>
        <w:gridCol w:w="602"/>
        <w:gridCol w:w="604"/>
        <w:gridCol w:w="604"/>
        <w:gridCol w:w="603"/>
        <w:gridCol w:w="598"/>
      </w:tblGrid>
      <w:tr w:rsidR="00872005" w:rsidTr="006239F1">
        <w:trPr>
          <w:trHeight w:val="20"/>
          <w:jc w:val="center"/>
        </w:trPr>
        <w:tc>
          <w:tcPr>
            <w:tcW w:w="67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Vzorek</w:t>
            </w:r>
          </w:p>
        </w:tc>
        <w:tc>
          <w:tcPr>
            <w:tcW w:w="607"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GAB</w:t>
            </w:r>
          </w:p>
        </w:tc>
        <w:tc>
          <w:tcPr>
            <w:tcW w:w="60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HCD</w:t>
            </w:r>
          </w:p>
        </w:tc>
        <w:tc>
          <w:tcPr>
            <w:tcW w:w="602"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HMO</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K2</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K2 25</w:t>
            </w:r>
          </w:p>
        </w:tc>
        <w:tc>
          <w:tcPr>
            <w:tcW w:w="60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K3</w:t>
            </w:r>
          </w:p>
        </w:tc>
        <w:tc>
          <w:tcPr>
            <w:tcW w:w="59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KET</w:t>
            </w:r>
          </w:p>
        </w:tc>
      </w:tr>
      <w:tr w:rsidR="00872005" w:rsidTr="006239F1">
        <w:trPr>
          <w:trHeight w:val="20"/>
          <w:jc w:val="center"/>
        </w:trPr>
        <w:tc>
          <w:tcPr>
            <w:tcW w:w="67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Pozitivní</w:t>
            </w:r>
          </w:p>
        </w:tc>
        <w:tc>
          <w:tcPr>
            <w:tcW w:w="607"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91,7 %</w:t>
            </w:r>
          </w:p>
        </w:tc>
        <w:tc>
          <w:tcPr>
            <w:tcW w:w="60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96,3 %</w:t>
            </w:r>
          </w:p>
        </w:tc>
        <w:tc>
          <w:tcPr>
            <w:tcW w:w="602"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95,8 %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93,3 %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95,8 %</w:t>
            </w:r>
          </w:p>
        </w:tc>
        <w:tc>
          <w:tcPr>
            <w:tcW w:w="60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99,2 %</w:t>
            </w:r>
          </w:p>
        </w:tc>
        <w:tc>
          <w:tcPr>
            <w:tcW w:w="59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95 %</w:t>
            </w:r>
          </w:p>
        </w:tc>
      </w:tr>
      <w:tr w:rsidR="00872005" w:rsidTr="006239F1">
        <w:trPr>
          <w:trHeight w:val="20"/>
          <w:jc w:val="center"/>
        </w:trPr>
        <w:tc>
          <w:tcPr>
            <w:tcW w:w="67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Záporné</w:t>
            </w:r>
          </w:p>
        </w:tc>
        <w:tc>
          <w:tcPr>
            <w:tcW w:w="607"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60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602"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60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9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r>
      <w:tr w:rsidR="00872005" w:rsidTr="006239F1">
        <w:trPr>
          <w:trHeight w:val="20"/>
          <w:jc w:val="center"/>
        </w:trPr>
        <w:tc>
          <w:tcPr>
            <w:tcW w:w="67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Celkem</w:t>
            </w:r>
          </w:p>
        </w:tc>
        <w:tc>
          <w:tcPr>
            <w:tcW w:w="607"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95,8 %</w:t>
            </w:r>
          </w:p>
        </w:tc>
        <w:tc>
          <w:tcPr>
            <w:tcW w:w="60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98,2 %</w:t>
            </w:r>
          </w:p>
        </w:tc>
        <w:tc>
          <w:tcPr>
            <w:tcW w:w="602"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97,9 %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96,7 %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97,9 %</w:t>
            </w:r>
          </w:p>
        </w:tc>
        <w:tc>
          <w:tcPr>
            <w:tcW w:w="60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99,6 %</w:t>
            </w:r>
          </w:p>
        </w:tc>
        <w:tc>
          <w:tcPr>
            <w:tcW w:w="59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97,5 %</w:t>
            </w:r>
          </w:p>
        </w:tc>
      </w:tr>
    </w:tbl>
    <w:p w:rsidR="00ED79DB" w:rsidRPr="00060D89" w:rsidRDefault="00ED79DB" w:rsidP="00ED79DB">
      <w:pPr>
        <w:spacing w:line="120" w:lineRule="exact"/>
        <w:rPr>
          <w:rFonts w:ascii="Times New Roman" w:hAnsi="Times New Roman"/>
          <w:color w:val="000000"/>
          <w:sz w:val="12"/>
          <w:szCs w:val="1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676"/>
        <w:gridCol w:w="607"/>
        <w:gridCol w:w="604"/>
        <w:gridCol w:w="603"/>
        <w:gridCol w:w="604"/>
        <w:gridCol w:w="603"/>
        <w:gridCol w:w="605"/>
        <w:gridCol w:w="595"/>
      </w:tblGrid>
      <w:tr w:rsidR="00872005" w:rsidTr="006239F1">
        <w:trPr>
          <w:trHeight w:val="20"/>
          <w:jc w:val="center"/>
        </w:trPr>
        <w:tc>
          <w:tcPr>
            <w:tcW w:w="67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Vzorek</w:t>
            </w:r>
          </w:p>
        </w:tc>
        <w:tc>
          <w:tcPr>
            <w:tcW w:w="607"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KET 100</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KRA</w:t>
            </w:r>
          </w:p>
        </w:tc>
        <w:tc>
          <w:tcPr>
            <w:tcW w:w="60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LSD</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THC</w:t>
            </w:r>
          </w:p>
        </w:tc>
        <w:tc>
          <w:tcPr>
            <w:tcW w:w="60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THC 25</w:t>
            </w:r>
          </w:p>
        </w:tc>
        <w:tc>
          <w:tcPr>
            <w:tcW w:w="60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EDDP</w:t>
            </w:r>
          </w:p>
        </w:tc>
        <w:tc>
          <w:tcPr>
            <w:tcW w:w="59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pacing w:val="-4"/>
                <w:sz w:val="12"/>
                <w:szCs w:val="12"/>
              </w:rPr>
            </w:pPr>
            <w:r w:rsidRPr="00060D89">
              <w:rPr>
                <w:rFonts w:ascii="Times New Roman" w:hAnsi="Times New Roman"/>
                <w:b/>
                <w:color w:val="000000"/>
                <w:spacing w:val="-4"/>
                <w:sz w:val="12"/>
                <w:szCs w:val="12"/>
              </w:rPr>
              <w:t>EDDP 100</w:t>
            </w:r>
          </w:p>
        </w:tc>
      </w:tr>
      <w:tr w:rsidR="00872005" w:rsidTr="006239F1">
        <w:trPr>
          <w:trHeight w:val="20"/>
          <w:jc w:val="center"/>
        </w:trPr>
        <w:tc>
          <w:tcPr>
            <w:tcW w:w="67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Pozitivní</w:t>
            </w:r>
          </w:p>
        </w:tc>
        <w:tc>
          <w:tcPr>
            <w:tcW w:w="607"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91,7 %</w:t>
            </w:r>
          </w:p>
        </w:tc>
        <w:tc>
          <w:tcPr>
            <w:tcW w:w="604" w:type="dxa"/>
            <w:tcMar>
              <w:left w:w="28" w:type="dxa"/>
              <w:right w:w="28" w:type="dxa"/>
            </w:tcMar>
            <w:vAlign w:val="center"/>
          </w:tcPr>
          <w:p w:rsidR="00ED79DB" w:rsidRPr="00060D89" w:rsidRDefault="007270C2" w:rsidP="006239F1">
            <w:pPr>
              <w:spacing w:beforeLines="10" w:before="24" w:afterLines="10" w:after="24"/>
              <w:jc w:val="center"/>
              <w:rPr>
                <w:rFonts w:ascii="Times New Roman" w:hAnsi="Times New Roman"/>
                <w:color w:val="000000"/>
                <w:sz w:val="12"/>
                <w:szCs w:val="12"/>
              </w:rPr>
            </w:pPr>
            <w:r w:rsidRPr="00060D89">
              <w:rPr>
                <w:rFonts w:ascii="Times New Roman" w:hAnsi="Times New Roman"/>
                <w:color w:val="000000"/>
                <w:sz w:val="12"/>
                <w:szCs w:val="12"/>
              </w:rPr>
              <w:t>94,2 %</w:t>
            </w:r>
          </w:p>
        </w:tc>
        <w:tc>
          <w:tcPr>
            <w:tcW w:w="60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91,7 %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95,8 %</w:t>
            </w:r>
          </w:p>
        </w:tc>
        <w:tc>
          <w:tcPr>
            <w:tcW w:w="60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94,2 %</w:t>
            </w:r>
          </w:p>
        </w:tc>
        <w:tc>
          <w:tcPr>
            <w:tcW w:w="60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94,2 %</w:t>
            </w:r>
          </w:p>
        </w:tc>
        <w:tc>
          <w:tcPr>
            <w:tcW w:w="59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93,3 %</w:t>
            </w:r>
          </w:p>
        </w:tc>
      </w:tr>
      <w:tr w:rsidR="00872005" w:rsidTr="006239F1">
        <w:trPr>
          <w:trHeight w:val="20"/>
          <w:jc w:val="center"/>
        </w:trPr>
        <w:tc>
          <w:tcPr>
            <w:tcW w:w="67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Záporné</w:t>
            </w:r>
          </w:p>
        </w:tc>
        <w:tc>
          <w:tcPr>
            <w:tcW w:w="607"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604" w:type="dxa"/>
            <w:tcMar>
              <w:left w:w="28" w:type="dxa"/>
              <w:right w:w="28" w:type="dxa"/>
            </w:tcMar>
            <w:vAlign w:val="center"/>
          </w:tcPr>
          <w:p w:rsidR="00ED79DB" w:rsidRPr="00060D89" w:rsidRDefault="007270C2" w:rsidP="006239F1">
            <w:pPr>
              <w:spacing w:beforeLines="10" w:before="24" w:afterLines="10" w:after="24"/>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60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60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60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9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r>
      <w:tr w:rsidR="00872005" w:rsidTr="006239F1">
        <w:trPr>
          <w:trHeight w:val="20"/>
          <w:jc w:val="center"/>
        </w:trPr>
        <w:tc>
          <w:tcPr>
            <w:tcW w:w="67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Celkem</w:t>
            </w:r>
          </w:p>
        </w:tc>
        <w:tc>
          <w:tcPr>
            <w:tcW w:w="607"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95,8 %</w:t>
            </w:r>
          </w:p>
        </w:tc>
        <w:tc>
          <w:tcPr>
            <w:tcW w:w="604" w:type="dxa"/>
            <w:tcMar>
              <w:left w:w="28" w:type="dxa"/>
              <w:right w:w="28" w:type="dxa"/>
            </w:tcMar>
            <w:vAlign w:val="center"/>
          </w:tcPr>
          <w:p w:rsidR="00ED79DB" w:rsidRPr="00060D89" w:rsidRDefault="007270C2" w:rsidP="006239F1">
            <w:pPr>
              <w:spacing w:beforeLines="10" w:before="24" w:afterLines="10" w:after="24"/>
              <w:jc w:val="center"/>
              <w:rPr>
                <w:rFonts w:ascii="Times New Roman" w:hAnsi="Times New Roman"/>
                <w:color w:val="000000"/>
                <w:sz w:val="12"/>
                <w:szCs w:val="12"/>
              </w:rPr>
            </w:pPr>
            <w:r w:rsidRPr="00060D89">
              <w:rPr>
                <w:rFonts w:ascii="Times New Roman" w:hAnsi="Times New Roman"/>
                <w:color w:val="000000"/>
                <w:sz w:val="12"/>
                <w:szCs w:val="12"/>
              </w:rPr>
              <w:t>97,1 %</w:t>
            </w:r>
          </w:p>
        </w:tc>
        <w:tc>
          <w:tcPr>
            <w:tcW w:w="60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95,8 %</w:t>
            </w:r>
          </w:p>
        </w:tc>
        <w:tc>
          <w:tcPr>
            <w:tcW w:w="60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97,9 %</w:t>
            </w:r>
          </w:p>
        </w:tc>
        <w:tc>
          <w:tcPr>
            <w:tcW w:w="60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97,1 %</w:t>
            </w:r>
          </w:p>
        </w:tc>
        <w:tc>
          <w:tcPr>
            <w:tcW w:w="60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97,1 %</w:t>
            </w:r>
          </w:p>
        </w:tc>
        <w:tc>
          <w:tcPr>
            <w:tcW w:w="59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96,7 %</w:t>
            </w:r>
          </w:p>
        </w:tc>
      </w:tr>
    </w:tbl>
    <w:p w:rsidR="00ED79DB" w:rsidRPr="00060D89" w:rsidRDefault="00ED79DB" w:rsidP="00ED79DB">
      <w:pPr>
        <w:spacing w:line="120" w:lineRule="exact"/>
        <w:rPr>
          <w:rFonts w:ascii="Times New Roman" w:hAnsi="Times New Roman"/>
          <w:color w:val="000000"/>
          <w:sz w:val="12"/>
          <w:szCs w:val="1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38"/>
        <w:gridCol w:w="593"/>
        <w:gridCol w:w="594"/>
        <w:gridCol w:w="594"/>
        <w:gridCol w:w="594"/>
        <w:gridCol w:w="594"/>
        <w:gridCol w:w="594"/>
        <w:gridCol w:w="596"/>
      </w:tblGrid>
      <w:tr w:rsidR="00872005" w:rsidTr="006239F1">
        <w:trPr>
          <w:trHeight w:val="186"/>
          <w:jc w:val="center"/>
        </w:trPr>
        <w:tc>
          <w:tcPr>
            <w:tcW w:w="73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Vzorek</w:t>
            </w:r>
          </w:p>
        </w:tc>
        <w:tc>
          <w:tcPr>
            <w:tcW w:w="593"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MTD</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MTD 200</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MET</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MET 500</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MET 300</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MQL</w:t>
            </w:r>
          </w:p>
        </w:tc>
        <w:tc>
          <w:tcPr>
            <w:tcW w:w="59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MTC</w:t>
            </w:r>
          </w:p>
        </w:tc>
      </w:tr>
      <w:tr w:rsidR="00872005" w:rsidTr="006239F1">
        <w:trPr>
          <w:trHeight w:val="186"/>
          <w:jc w:val="center"/>
        </w:trPr>
        <w:tc>
          <w:tcPr>
            <w:tcW w:w="73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Pozitivní</w:t>
            </w:r>
          </w:p>
        </w:tc>
        <w:tc>
          <w:tcPr>
            <w:tcW w:w="593" w:type="dxa"/>
            <w:tcMar>
              <w:left w:w="28" w:type="dxa"/>
              <w:right w:w="28" w:type="dxa"/>
            </w:tcMa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95,0 %</w:t>
            </w:r>
          </w:p>
        </w:tc>
        <w:tc>
          <w:tcPr>
            <w:tcW w:w="594" w:type="dxa"/>
            <w:tcMar>
              <w:left w:w="28" w:type="dxa"/>
              <w:right w:w="28" w:type="dxa"/>
            </w:tcMar>
            <w:vAlign w:val="center"/>
          </w:tcPr>
          <w:p w:rsidR="00ED79DB" w:rsidRPr="00060D89" w:rsidRDefault="007270C2" w:rsidP="006239F1">
            <w:pPr>
              <w:spacing w:beforeLines="10" w:before="24" w:afterLines="10" w:after="24"/>
              <w:jc w:val="center"/>
              <w:rPr>
                <w:rFonts w:ascii="Times New Roman" w:hAnsi="Times New Roman"/>
                <w:color w:val="000000"/>
                <w:sz w:val="12"/>
                <w:szCs w:val="12"/>
              </w:rPr>
            </w:pPr>
            <w:r w:rsidRPr="00060D89">
              <w:rPr>
                <w:rFonts w:ascii="Times New Roman" w:eastAsia="DengXian" w:hAnsi="Times New Roman"/>
                <w:color w:val="000000"/>
                <w:sz w:val="12"/>
                <w:szCs w:val="12"/>
              </w:rPr>
              <w:t>94,2 %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95,8 %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95,8 %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91,7 %</w:t>
            </w:r>
          </w:p>
        </w:tc>
        <w:tc>
          <w:tcPr>
            <w:tcW w:w="59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95,8 %</w:t>
            </w:r>
          </w:p>
        </w:tc>
      </w:tr>
      <w:tr w:rsidR="00872005" w:rsidTr="006239F1">
        <w:trPr>
          <w:trHeight w:val="186"/>
          <w:jc w:val="center"/>
        </w:trPr>
        <w:tc>
          <w:tcPr>
            <w:tcW w:w="73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Záporné</w:t>
            </w:r>
          </w:p>
        </w:tc>
        <w:tc>
          <w:tcPr>
            <w:tcW w:w="593" w:type="dxa"/>
            <w:tcMar>
              <w:left w:w="28" w:type="dxa"/>
              <w:right w:w="28" w:type="dxa"/>
            </w:tcMa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94" w:type="dxa"/>
            <w:tcMar>
              <w:left w:w="28" w:type="dxa"/>
              <w:right w:w="28" w:type="dxa"/>
            </w:tcMar>
            <w:vAlign w:val="center"/>
          </w:tcPr>
          <w:p w:rsidR="00ED79DB" w:rsidRPr="00060D89" w:rsidRDefault="007270C2" w:rsidP="006239F1">
            <w:pPr>
              <w:spacing w:beforeLines="10" w:before="24" w:afterLines="10" w:after="24"/>
              <w:jc w:val="center"/>
              <w:rPr>
                <w:rFonts w:ascii="Times New Roman" w:hAnsi="Times New Roman"/>
                <w:color w:val="000000"/>
                <w:sz w:val="12"/>
                <w:szCs w:val="12"/>
              </w:rPr>
            </w:pPr>
            <w:r w:rsidRPr="00060D89">
              <w:rPr>
                <w:rFonts w:ascii="Times New Roman" w:eastAsia="DengXian" w:hAnsi="Times New Roman"/>
                <w:color w:val="000000"/>
                <w:sz w:val="12"/>
                <w:szCs w:val="12"/>
              </w:rPr>
              <w:t>100 %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9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r>
      <w:tr w:rsidR="00872005" w:rsidTr="006239F1">
        <w:trPr>
          <w:trHeight w:val="186"/>
          <w:jc w:val="center"/>
        </w:trPr>
        <w:tc>
          <w:tcPr>
            <w:tcW w:w="73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Celkem</w:t>
            </w:r>
          </w:p>
        </w:tc>
        <w:tc>
          <w:tcPr>
            <w:tcW w:w="593" w:type="dxa"/>
            <w:tcMar>
              <w:left w:w="28" w:type="dxa"/>
              <w:right w:w="28" w:type="dxa"/>
            </w:tcMa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97,5 %</w:t>
            </w:r>
          </w:p>
        </w:tc>
        <w:tc>
          <w:tcPr>
            <w:tcW w:w="594" w:type="dxa"/>
            <w:tcMar>
              <w:left w:w="28" w:type="dxa"/>
              <w:right w:w="28" w:type="dxa"/>
            </w:tcMar>
            <w:vAlign w:val="center"/>
          </w:tcPr>
          <w:p w:rsidR="00ED79DB" w:rsidRPr="00060D89" w:rsidRDefault="007270C2" w:rsidP="006239F1">
            <w:pPr>
              <w:spacing w:beforeLines="10" w:before="24" w:afterLines="10" w:after="24"/>
              <w:jc w:val="center"/>
              <w:rPr>
                <w:rFonts w:ascii="Times New Roman" w:hAnsi="Times New Roman"/>
                <w:color w:val="000000"/>
                <w:sz w:val="12"/>
                <w:szCs w:val="12"/>
              </w:rPr>
            </w:pPr>
            <w:r w:rsidRPr="00060D89">
              <w:rPr>
                <w:rFonts w:ascii="Times New Roman" w:eastAsia="DengXian" w:hAnsi="Times New Roman"/>
                <w:color w:val="000000"/>
                <w:sz w:val="12"/>
                <w:szCs w:val="12"/>
              </w:rPr>
              <w:t>97,1 %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97,5 %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97,9 %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97,9 %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95,8 %</w:t>
            </w:r>
          </w:p>
        </w:tc>
        <w:tc>
          <w:tcPr>
            <w:tcW w:w="59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97,9 %</w:t>
            </w:r>
          </w:p>
        </w:tc>
      </w:tr>
    </w:tbl>
    <w:p w:rsidR="00ED79DB" w:rsidRPr="00060D89" w:rsidRDefault="00ED79DB" w:rsidP="00ED79DB">
      <w:pPr>
        <w:spacing w:line="120" w:lineRule="exact"/>
        <w:rPr>
          <w:rFonts w:ascii="Times New Roman" w:hAnsi="Times New Roman"/>
          <w:color w:val="000000"/>
          <w:sz w:val="12"/>
          <w:szCs w:val="1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38"/>
        <w:gridCol w:w="594"/>
        <w:gridCol w:w="594"/>
        <w:gridCol w:w="594"/>
        <w:gridCol w:w="594"/>
        <w:gridCol w:w="594"/>
        <w:gridCol w:w="594"/>
        <w:gridCol w:w="595"/>
      </w:tblGrid>
      <w:tr w:rsidR="00872005" w:rsidTr="006239F1">
        <w:trPr>
          <w:trHeight w:val="20"/>
          <w:jc w:val="center"/>
        </w:trPr>
        <w:tc>
          <w:tcPr>
            <w:tcW w:w="73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Vzorek</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MDPV</w:t>
            </w:r>
          </w:p>
        </w:tc>
        <w:tc>
          <w:tcPr>
            <w:tcW w:w="594" w:type="dxa"/>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MPD</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6-MAM</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pacing w:val="-4"/>
                <w:sz w:val="12"/>
                <w:szCs w:val="12"/>
              </w:rPr>
            </w:pPr>
            <w:r w:rsidRPr="00060D89">
              <w:rPr>
                <w:rFonts w:ascii="Times New Roman" w:hAnsi="Times New Roman"/>
                <w:b/>
                <w:color w:val="000000"/>
                <w:spacing w:val="-4"/>
                <w:sz w:val="12"/>
                <w:szCs w:val="12"/>
              </w:rPr>
              <w:t>6-MAM 20</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MOP</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OPI</w:t>
            </w:r>
          </w:p>
        </w:tc>
        <w:tc>
          <w:tcPr>
            <w:tcW w:w="595"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OXY</w:t>
            </w:r>
          </w:p>
        </w:tc>
      </w:tr>
      <w:tr w:rsidR="00872005" w:rsidTr="006239F1">
        <w:trPr>
          <w:trHeight w:val="20"/>
          <w:jc w:val="center"/>
        </w:trPr>
        <w:tc>
          <w:tcPr>
            <w:tcW w:w="73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Pozitivní</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94,2 %</w:t>
            </w:r>
          </w:p>
        </w:tc>
        <w:tc>
          <w:tcPr>
            <w:tcW w:w="594"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eastAsia="DengXian" w:hAnsi="Times New Roman"/>
                <w:color w:val="000000"/>
                <w:sz w:val="12"/>
                <w:szCs w:val="12"/>
              </w:rPr>
              <w:t>98,3 %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93,3 %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94,5 %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95,8 %</w:t>
            </w:r>
          </w:p>
        </w:tc>
        <w:tc>
          <w:tcPr>
            <w:tcW w:w="594" w:type="dxa"/>
            <w:tcMar>
              <w:left w:w="28" w:type="dxa"/>
              <w:right w:w="28" w:type="dxa"/>
            </w:tcMa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88,3 %</w:t>
            </w:r>
          </w:p>
        </w:tc>
        <w:tc>
          <w:tcPr>
            <w:tcW w:w="595" w:type="dxa"/>
            <w:tcMar>
              <w:left w:w="28" w:type="dxa"/>
              <w:right w:w="28" w:type="dxa"/>
            </w:tcMa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93,3 %</w:t>
            </w:r>
          </w:p>
        </w:tc>
      </w:tr>
      <w:tr w:rsidR="00872005" w:rsidTr="006239F1">
        <w:trPr>
          <w:trHeight w:val="90"/>
          <w:jc w:val="center"/>
        </w:trPr>
        <w:tc>
          <w:tcPr>
            <w:tcW w:w="73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Záporné</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94"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eastAsia="DengXian" w:hAnsi="Times New Roman"/>
                <w:color w:val="000000"/>
                <w:sz w:val="12"/>
                <w:szCs w:val="12"/>
              </w:rPr>
              <w:t>100 %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94" w:type="dxa"/>
            <w:tcMar>
              <w:left w:w="28" w:type="dxa"/>
              <w:right w:w="28" w:type="dxa"/>
            </w:tcMa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95" w:type="dxa"/>
            <w:tcMar>
              <w:left w:w="28" w:type="dxa"/>
              <w:right w:w="28" w:type="dxa"/>
            </w:tcMa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r>
      <w:tr w:rsidR="00872005" w:rsidTr="006239F1">
        <w:trPr>
          <w:trHeight w:val="20"/>
          <w:jc w:val="center"/>
        </w:trPr>
        <w:tc>
          <w:tcPr>
            <w:tcW w:w="73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Celkem</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97,1 %</w:t>
            </w:r>
          </w:p>
        </w:tc>
        <w:tc>
          <w:tcPr>
            <w:tcW w:w="594"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eastAsia="DengXian" w:hAnsi="Times New Roman"/>
                <w:color w:val="000000"/>
                <w:sz w:val="12"/>
                <w:szCs w:val="12"/>
              </w:rPr>
              <w:t>99,2 %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96,7 %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97,3 %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97,9 %</w:t>
            </w:r>
          </w:p>
        </w:tc>
        <w:tc>
          <w:tcPr>
            <w:tcW w:w="594" w:type="dxa"/>
            <w:tcMar>
              <w:left w:w="28" w:type="dxa"/>
              <w:right w:w="28" w:type="dxa"/>
            </w:tcMa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94,2 %</w:t>
            </w:r>
          </w:p>
        </w:tc>
        <w:tc>
          <w:tcPr>
            <w:tcW w:w="595" w:type="dxa"/>
            <w:tcMar>
              <w:left w:w="28" w:type="dxa"/>
              <w:right w:w="28" w:type="dxa"/>
            </w:tcMa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96,7 %</w:t>
            </w:r>
          </w:p>
        </w:tc>
      </w:tr>
    </w:tbl>
    <w:p w:rsidR="00ED79DB" w:rsidRPr="00060D89" w:rsidRDefault="00ED79DB" w:rsidP="00ED79DB">
      <w:pPr>
        <w:spacing w:line="120" w:lineRule="exact"/>
        <w:rPr>
          <w:rFonts w:ascii="Times New Roman" w:hAnsi="Times New Roman"/>
          <w:color w:val="000000"/>
          <w:sz w:val="12"/>
          <w:szCs w:val="1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38"/>
        <w:gridCol w:w="593"/>
        <w:gridCol w:w="594"/>
        <w:gridCol w:w="594"/>
        <w:gridCol w:w="594"/>
        <w:gridCol w:w="594"/>
        <w:gridCol w:w="594"/>
        <w:gridCol w:w="596"/>
      </w:tblGrid>
      <w:tr w:rsidR="00872005" w:rsidTr="006239F1">
        <w:trPr>
          <w:trHeight w:val="20"/>
          <w:jc w:val="center"/>
        </w:trPr>
        <w:tc>
          <w:tcPr>
            <w:tcW w:w="73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Vzorek</w:t>
            </w:r>
          </w:p>
        </w:tc>
        <w:tc>
          <w:tcPr>
            <w:tcW w:w="593" w:type="dxa"/>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PCP</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PGB</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PGB 500</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PPX</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UR-144</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SOMA</w:t>
            </w:r>
          </w:p>
        </w:tc>
        <w:tc>
          <w:tcPr>
            <w:tcW w:w="59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TRA</w:t>
            </w:r>
          </w:p>
        </w:tc>
      </w:tr>
      <w:tr w:rsidR="00872005" w:rsidTr="006239F1">
        <w:trPr>
          <w:trHeight w:val="20"/>
          <w:jc w:val="center"/>
        </w:trPr>
        <w:tc>
          <w:tcPr>
            <w:tcW w:w="73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Pozitivní</w:t>
            </w:r>
          </w:p>
        </w:tc>
        <w:tc>
          <w:tcPr>
            <w:tcW w:w="593"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91,7 %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94,2 %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96,2 %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95,0 %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94,2 %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95,0 %</w:t>
            </w:r>
          </w:p>
        </w:tc>
        <w:tc>
          <w:tcPr>
            <w:tcW w:w="59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95,8 %</w:t>
            </w:r>
          </w:p>
        </w:tc>
      </w:tr>
      <w:tr w:rsidR="00872005" w:rsidTr="006239F1">
        <w:trPr>
          <w:trHeight w:val="20"/>
          <w:jc w:val="center"/>
        </w:trPr>
        <w:tc>
          <w:tcPr>
            <w:tcW w:w="73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Záporné</w:t>
            </w:r>
          </w:p>
        </w:tc>
        <w:tc>
          <w:tcPr>
            <w:tcW w:w="593"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59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r>
      <w:tr w:rsidR="00872005" w:rsidTr="006239F1">
        <w:trPr>
          <w:trHeight w:val="20"/>
          <w:jc w:val="center"/>
        </w:trPr>
        <w:tc>
          <w:tcPr>
            <w:tcW w:w="738"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Celkem</w:t>
            </w:r>
          </w:p>
        </w:tc>
        <w:tc>
          <w:tcPr>
            <w:tcW w:w="593"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95,8 %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97,1 %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98,1 %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97,5 %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97,1 %</w:t>
            </w:r>
          </w:p>
        </w:tc>
        <w:tc>
          <w:tcPr>
            <w:tcW w:w="594"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97,5 %</w:t>
            </w:r>
          </w:p>
        </w:tc>
        <w:tc>
          <w:tcPr>
            <w:tcW w:w="596" w:type="dxa"/>
            <w:tcMar>
              <w:left w:w="28" w:type="dxa"/>
              <w:right w:w="28" w:type="dxa"/>
            </w:tcMar>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97,9 %</w:t>
            </w:r>
          </w:p>
        </w:tc>
      </w:tr>
    </w:tbl>
    <w:p w:rsidR="00ED79DB" w:rsidRPr="00060D89" w:rsidRDefault="00ED79DB" w:rsidP="00ED79DB">
      <w:pPr>
        <w:spacing w:line="120" w:lineRule="exact"/>
        <w:rPr>
          <w:rFonts w:ascii="Times New Roman" w:hAnsi="Times New Roman"/>
          <w:color w:val="000000"/>
          <w:sz w:val="12"/>
          <w:szCs w:val="12"/>
        </w:rPr>
      </w:pPr>
    </w:p>
    <w:tbl>
      <w:tblPr>
        <w:tblW w:w="258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758"/>
        <w:gridCol w:w="588"/>
        <w:gridCol w:w="588"/>
        <w:gridCol w:w="588"/>
      </w:tblGrid>
      <w:tr w:rsidR="00872005" w:rsidTr="00D30C6B">
        <w:trPr>
          <w:trHeight w:val="20"/>
        </w:trPr>
        <w:tc>
          <w:tcPr>
            <w:tcW w:w="1503" w:type="pct"/>
            <w:tcMar>
              <w:left w:w="28" w:type="dxa"/>
              <w:right w:w="28" w:type="dxa"/>
            </w:tcMar>
            <w:vAlign w:val="center"/>
          </w:tcPr>
          <w:p w:rsidR="00D30C6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Vzorek</w:t>
            </w:r>
          </w:p>
        </w:tc>
        <w:tc>
          <w:tcPr>
            <w:tcW w:w="1166" w:type="pct"/>
          </w:tcPr>
          <w:p w:rsidR="00D30C6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TRA 200</w:t>
            </w:r>
          </w:p>
        </w:tc>
        <w:tc>
          <w:tcPr>
            <w:tcW w:w="1166" w:type="pct"/>
            <w:tcMar>
              <w:left w:w="28" w:type="dxa"/>
              <w:right w:w="28" w:type="dxa"/>
            </w:tcMar>
            <w:vAlign w:val="center"/>
          </w:tcPr>
          <w:p w:rsidR="00D30C6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TCA</w:t>
            </w:r>
          </w:p>
        </w:tc>
        <w:tc>
          <w:tcPr>
            <w:tcW w:w="1166" w:type="pct"/>
          </w:tcPr>
          <w:p w:rsidR="00D30C6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ZOL</w:t>
            </w:r>
          </w:p>
        </w:tc>
      </w:tr>
      <w:tr w:rsidR="00872005" w:rsidTr="00D30C6B">
        <w:trPr>
          <w:trHeight w:val="20"/>
        </w:trPr>
        <w:tc>
          <w:tcPr>
            <w:tcW w:w="1503" w:type="pct"/>
            <w:tcMar>
              <w:left w:w="28" w:type="dxa"/>
              <w:right w:w="28" w:type="dxa"/>
            </w:tcMar>
            <w:vAlign w:val="center"/>
          </w:tcPr>
          <w:p w:rsidR="00D30C6B" w:rsidRPr="00060D89" w:rsidRDefault="007270C2" w:rsidP="00407F4E">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Pozitivní</w:t>
            </w:r>
          </w:p>
        </w:tc>
        <w:tc>
          <w:tcPr>
            <w:tcW w:w="1166" w:type="pct"/>
            <w:vAlign w:val="center"/>
          </w:tcPr>
          <w:p w:rsidR="00D30C6B" w:rsidRPr="00060D89" w:rsidRDefault="007270C2" w:rsidP="00407F4E">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93,3 %</w:t>
            </w:r>
          </w:p>
        </w:tc>
        <w:tc>
          <w:tcPr>
            <w:tcW w:w="1166" w:type="pct"/>
            <w:tcMar>
              <w:left w:w="28" w:type="dxa"/>
              <w:right w:w="28" w:type="dxa"/>
            </w:tcMar>
            <w:vAlign w:val="center"/>
          </w:tcPr>
          <w:p w:rsidR="00D30C6B" w:rsidRPr="00060D89" w:rsidRDefault="007270C2" w:rsidP="00407F4E">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95,0 %</w:t>
            </w:r>
          </w:p>
        </w:tc>
        <w:tc>
          <w:tcPr>
            <w:tcW w:w="1166" w:type="pct"/>
            <w:vAlign w:val="center"/>
          </w:tcPr>
          <w:p w:rsidR="00D30C6B" w:rsidRPr="00060D89" w:rsidRDefault="007270C2" w:rsidP="00407F4E">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95,0 %</w:t>
            </w:r>
          </w:p>
        </w:tc>
      </w:tr>
      <w:tr w:rsidR="00872005" w:rsidTr="00D30C6B">
        <w:trPr>
          <w:trHeight w:val="215"/>
        </w:trPr>
        <w:tc>
          <w:tcPr>
            <w:tcW w:w="1503" w:type="pct"/>
            <w:tcMar>
              <w:left w:w="28" w:type="dxa"/>
              <w:right w:w="28" w:type="dxa"/>
            </w:tcMar>
            <w:vAlign w:val="center"/>
          </w:tcPr>
          <w:p w:rsidR="00D30C6B" w:rsidRPr="00060D89" w:rsidRDefault="007270C2" w:rsidP="00407F4E">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Negativní</w:t>
            </w:r>
          </w:p>
        </w:tc>
        <w:tc>
          <w:tcPr>
            <w:tcW w:w="1166" w:type="pct"/>
            <w:vAlign w:val="center"/>
          </w:tcPr>
          <w:p w:rsidR="00D30C6B" w:rsidRPr="00060D89" w:rsidRDefault="007270C2" w:rsidP="00407F4E">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1166" w:type="pct"/>
            <w:tcMar>
              <w:left w:w="28" w:type="dxa"/>
              <w:right w:w="28" w:type="dxa"/>
            </w:tcMar>
            <w:vAlign w:val="center"/>
          </w:tcPr>
          <w:p w:rsidR="00D30C6B" w:rsidRPr="00060D89" w:rsidRDefault="007270C2" w:rsidP="00407F4E">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c>
          <w:tcPr>
            <w:tcW w:w="1166" w:type="pct"/>
            <w:vAlign w:val="center"/>
          </w:tcPr>
          <w:p w:rsidR="00D30C6B" w:rsidRPr="00060D89" w:rsidRDefault="007270C2" w:rsidP="00407F4E">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100 %</w:t>
            </w:r>
          </w:p>
        </w:tc>
      </w:tr>
      <w:tr w:rsidR="00872005" w:rsidTr="00D30C6B">
        <w:trPr>
          <w:trHeight w:val="20"/>
        </w:trPr>
        <w:tc>
          <w:tcPr>
            <w:tcW w:w="1503" w:type="pct"/>
            <w:tcMar>
              <w:left w:w="28" w:type="dxa"/>
              <w:right w:w="28" w:type="dxa"/>
            </w:tcMar>
            <w:vAlign w:val="center"/>
          </w:tcPr>
          <w:p w:rsidR="00D30C6B" w:rsidRPr="00060D89" w:rsidRDefault="007270C2" w:rsidP="00407F4E">
            <w:pPr>
              <w:spacing w:beforeLines="10" w:before="24" w:afterLines="10" w:after="24" w:line="0" w:lineRule="atLeast"/>
              <w:jc w:val="center"/>
              <w:rPr>
                <w:b/>
                <w:color w:val="000000"/>
                <w:sz w:val="12"/>
                <w:szCs w:val="12"/>
              </w:rPr>
            </w:pPr>
            <w:r w:rsidRPr="00060D89">
              <w:rPr>
                <w:b/>
                <w:color w:val="000000"/>
                <w:sz w:val="12"/>
                <w:szCs w:val="12"/>
              </w:rPr>
              <w:t>Celkem</w:t>
            </w:r>
          </w:p>
        </w:tc>
        <w:tc>
          <w:tcPr>
            <w:tcW w:w="1166" w:type="pct"/>
            <w:vAlign w:val="center"/>
          </w:tcPr>
          <w:p w:rsidR="00D30C6B" w:rsidRPr="00060D89" w:rsidRDefault="007270C2" w:rsidP="00407F4E">
            <w:pPr>
              <w:spacing w:beforeLines="10" w:before="24" w:afterLines="10" w:after="24" w:line="0" w:lineRule="atLeast"/>
              <w:jc w:val="center"/>
              <w:rPr>
                <w:color w:val="000000"/>
                <w:sz w:val="12"/>
                <w:szCs w:val="12"/>
              </w:rPr>
            </w:pPr>
            <w:r w:rsidRPr="00060D89">
              <w:rPr>
                <w:color w:val="000000"/>
                <w:sz w:val="12"/>
                <w:szCs w:val="12"/>
              </w:rPr>
              <w:t>96,7 %</w:t>
            </w:r>
          </w:p>
        </w:tc>
        <w:tc>
          <w:tcPr>
            <w:tcW w:w="1166" w:type="pct"/>
            <w:tcMar>
              <w:left w:w="28" w:type="dxa"/>
              <w:right w:w="28" w:type="dxa"/>
            </w:tcMar>
            <w:vAlign w:val="center"/>
          </w:tcPr>
          <w:p w:rsidR="00D30C6B" w:rsidRPr="00060D89" w:rsidRDefault="007270C2" w:rsidP="00407F4E">
            <w:pPr>
              <w:spacing w:beforeLines="10" w:before="24" w:afterLines="10" w:after="24" w:line="0" w:lineRule="atLeast"/>
              <w:jc w:val="center"/>
              <w:rPr>
                <w:color w:val="000000"/>
                <w:sz w:val="12"/>
                <w:szCs w:val="12"/>
              </w:rPr>
            </w:pPr>
            <w:r w:rsidRPr="00060D89">
              <w:rPr>
                <w:color w:val="000000"/>
                <w:sz w:val="12"/>
                <w:szCs w:val="12"/>
              </w:rPr>
              <w:t>97,5 %</w:t>
            </w:r>
          </w:p>
        </w:tc>
        <w:tc>
          <w:tcPr>
            <w:tcW w:w="1166" w:type="pct"/>
            <w:vAlign w:val="center"/>
          </w:tcPr>
          <w:p w:rsidR="00D30C6B" w:rsidRPr="00060D89" w:rsidRDefault="007270C2" w:rsidP="00407F4E">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97,5 %</w:t>
            </w:r>
          </w:p>
        </w:tc>
      </w:tr>
    </w:tbl>
    <w:p w:rsidR="00EE7251" w:rsidRDefault="007270C2">
      <w:pPr>
        <w:pStyle w:val="Heading8"/>
        <w:spacing w:before="80" w:after="80" w:line="0" w:lineRule="atLeast"/>
        <w:rPr>
          <w:rFonts w:ascii="Times New Roman" w:hAnsi="Times New Roman"/>
          <w:sz w:val="12"/>
          <w:szCs w:val="12"/>
          <w:highlight w:val="black"/>
        </w:rPr>
      </w:pPr>
      <w:r>
        <w:rPr>
          <w:rFonts w:ascii="Times New Roman" w:hAnsi="Times New Roman"/>
          <w:sz w:val="12"/>
          <w:szCs w:val="12"/>
          <w:highlight w:val="black"/>
        </w:rPr>
        <w:t>Analytická citlivost</w:t>
      </w:r>
    </w:p>
    <w:p w:rsidR="00EE7251" w:rsidRDefault="007270C2">
      <w:pPr>
        <w:autoSpaceDE w:val="0"/>
        <w:autoSpaceDN w:val="0"/>
        <w:adjustRightInd w:val="0"/>
        <w:spacing w:beforeLines="10" w:before="24" w:afterLines="10" w:after="24" w:line="0" w:lineRule="atLeast"/>
        <w:rPr>
          <w:rFonts w:ascii="Times New Roman" w:hAnsi="Times New Roman"/>
          <w:sz w:val="12"/>
          <w:szCs w:val="12"/>
        </w:rPr>
      </w:pPr>
      <w:r>
        <w:rPr>
          <w:rFonts w:ascii="Times New Roman" w:hAnsi="Times New Roman"/>
          <w:sz w:val="12"/>
          <w:szCs w:val="12"/>
        </w:rPr>
        <w:t>Celkem 150 vzorků, rovnoměrně rozdělených v koncentracích -50 % mezní hodnoty; -25 % mezní hodnoty; mezní hodnota; +25 % mezní hodnoty; +50 % mezní hodnoty, bylo testováno pomocí tří různých šarží každé testovací kartičky třemi různými operátory. Všechny výsledky byly pozitivní při a nad +25 % cut-off a všechny negativní při a pod -25 % cut-off pro acetaminofen, amfetamin, barbituráty, buprenorfin, benzodiazepiny, kokain, kotinin, klonazepam, extázi, ethylglukuronid, fentanyl, gabapentin, hydrokodonu, hydromorfonu, syntetického kanabinoidu K2, K3 (AB-Pinaca), ketaminu, kratomu, diethylamidu kyseliny lysergové, marihuany, EDDP, metadonu, metamfetaminu, metakvalonu, metkatinonu, methylendioxypyrovaleron, methylfenidát, 6-monoacetylmorfin, morfin, oxykodon, fencyklidin, pregabalin, propoxyfen, UR-144, karisoprodol, tramadol, tricyklická antidepresiva</w:t>
      </w:r>
      <w:r w:rsidR="00F06C6A" w:rsidRPr="00F06C6A">
        <w:rPr>
          <w:rFonts w:ascii="Times New Roman" w:hAnsi="Times New Roman"/>
          <w:sz w:val="12"/>
          <w:szCs w:val="12"/>
        </w:rPr>
        <w:t>, zolpidem</w:t>
      </w:r>
      <w:r>
        <w:rPr>
          <w:rFonts w:ascii="Times New Roman" w:hAnsi="Times New Roman"/>
          <w:sz w:val="12"/>
          <w:szCs w:val="12"/>
        </w:rPr>
        <w:t>.</w:t>
      </w:r>
    </w:p>
    <w:p w:rsidR="00EE7251" w:rsidRDefault="007270C2">
      <w:pPr>
        <w:spacing w:beforeLines="10" w:before="24" w:afterLines="10" w:after="24" w:line="0" w:lineRule="atLeast"/>
        <w:rPr>
          <w:rFonts w:ascii="Times New Roman" w:hAnsi="Times New Roman"/>
          <w:sz w:val="12"/>
          <w:szCs w:val="12"/>
        </w:rPr>
      </w:pPr>
      <w:r>
        <w:rPr>
          <w:rFonts w:ascii="Times New Roman" w:hAnsi="Times New Roman"/>
          <w:sz w:val="12"/>
          <w:szCs w:val="12"/>
        </w:rPr>
        <w:t>Hodnota prahová pro testovací proužek je ověřena.</w:t>
      </w:r>
    </w:p>
    <w:p w:rsidR="00EE7251" w:rsidRDefault="007270C2">
      <w:pPr>
        <w:pStyle w:val="Heading8"/>
        <w:spacing w:before="80" w:after="80" w:line="0" w:lineRule="atLeast"/>
        <w:rPr>
          <w:rFonts w:ascii="Times New Roman" w:hAnsi="Times New Roman"/>
          <w:sz w:val="12"/>
          <w:szCs w:val="12"/>
          <w:highlight w:val="black"/>
        </w:rPr>
      </w:pPr>
      <w:r>
        <w:rPr>
          <w:rFonts w:ascii="Times New Roman" w:hAnsi="Times New Roman"/>
          <w:sz w:val="12"/>
          <w:szCs w:val="12"/>
          <w:highlight w:val="black"/>
        </w:rPr>
        <w:t>Analytická specificita</w:t>
      </w:r>
    </w:p>
    <w:p w:rsidR="00EE7251" w:rsidRDefault="007270C2">
      <w:pPr>
        <w:spacing w:beforeLines="10" w:before="24" w:afterLines="10" w:after="24" w:line="0" w:lineRule="atLeast"/>
        <w:rPr>
          <w:rFonts w:ascii="Times New Roman" w:hAnsi="Times New Roman"/>
          <w:kern w:val="0"/>
          <w:sz w:val="12"/>
          <w:szCs w:val="12"/>
          <w:lang w:eastAsia="en-US"/>
        </w:rPr>
      </w:pPr>
      <w:r>
        <w:rPr>
          <w:rFonts w:ascii="Times New Roman" w:hAnsi="Times New Roman"/>
          <w:kern w:val="0"/>
          <w:sz w:val="12"/>
          <w:szCs w:val="12"/>
          <w:lang w:eastAsia="en-US"/>
        </w:rPr>
        <w:t xml:space="preserve">Následující tabulka uvádí sloučeniny, které jsou pozitivně detekovány v moči pomocí </w:t>
      </w:r>
      <w:r>
        <w:rPr>
          <w:rFonts w:ascii="Times New Roman" w:hAnsi="Times New Roman"/>
          <w:b/>
          <w:sz w:val="12"/>
          <w:szCs w:val="12"/>
        </w:rPr>
        <w:t>testovacího</w:t>
      </w:r>
      <w:r>
        <w:rPr>
          <w:rFonts w:ascii="Times New Roman" w:hAnsi="Times New Roman"/>
          <w:kern w:val="0"/>
          <w:sz w:val="12"/>
          <w:szCs w:val="12"/>
          <w:lang w:eastAsia="en-US"/>
        </w:rPr>
        <w:t xml:space="preserve"> proužku </w:t>
      </w:r>
      <w:r>
        <w:rPr>
          <w:rFonts w:ascii="Times New Roman" w:hAnsi="Times New Roman"/>
          <w:b/>
          <w:sz w:val="12"/>
          <w:szCs w:val="12"/>
        </w:rPr>
        <w:t xml:space="preserve">One Step Drugs of Abuse Test Dip Card (moč) </w:t>
      </w:r>
      <w:r>
        <w:rPr>
          <w:rFonts w:ascii="Times New Roman" w:hAnsi="Times New Roman"/>
          <w:kern w:val="0"/>
          <w:sz w:val="12"/>
          <w:szCs w:val="12"/>
          <w:lang w:eastAsia="en-US"/>
        </w:rPr>
        <w:t>po 5 minutách.</w:t>
      </w:r>
    </w:p>
    <w:tbl>
      <w:tblPr>
        <w:tblW w:w="0" w:type="auto"/>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73"/>
        <w:gridCol w:w="1507"/>
      </w:tblGrid>
      <w:tr w:rsidR="00872005">
        <w:trPr>
          <w:trHeight w:val="164"/>
          <w:tblHeader/>
        </w:trPr>
        <w:tc>
          <w:tcPr>
            <w:tcW w:w="3273" w:type="dxa"/>
            <w:vAlign w:val="center"/>
          </w:tcPr>
          <w:p w:rsidR="00EE7251" w:rsidRDefault="007270C2">
            <w:pPr>
              <w:autoSpaceDE w:val="0"/>
              <w:autoSpaceDN w:val="0"/>
              <w:adjustRightInd w:val="0"/>
              <w:rPr>
                <w:rFonts w:ascii="Times New Roman" w:hAnsi="Times New Roman"/>
                <w:b/>
                <w:sz w:val="12"/>
                <w:szCs w:val="12"/>
              </w:rPr>
            </w:pPr>
            <w:r>
              <w:rPr>
                <w:rFonts w:ascii="Times New Roman" w:hAnsi="Times New Roman"/>
                <w:b/>
                <w:sz w:val="12"/>
                <w:szCs w:val="12"/>
              </w:rPr>
              <w:t>Látka</w:t>
            </w:r>
          </w:p>
        </w:tc>
        <w:tc>
          <w:tcPr>
            <w:tcW w:w="1507" w:type="dxa"/>
            <w:vAlign w:val="center"/>
          </w:tcPr>
          <w:p w:rsidR="00EE7251" w:rsidRDefault="007270C2">
            <w:pPr>
              <w:autoSpaceDE w:val="0"/>
              <w:autoSpaceDN w:val="0"/>
              <w:adjustRightInd w:val="0"/>
              <w:rPr>
                <w:rFonts w:ascii="Times New Roman" w:hAnsi="Times New Roman"/>
                <w:b/>
                <w:sz w:val="12"/>
                <w:szCs w:val="12"/>
              </w:rPr>
            </w:pPr>
            <w:r>
              <w:rPr>
                <w:rFonts w:ascii="Times New Roman" w:hAnsi="Times New Roman"/>
                <w:b/>
                <w:sz w:val="12"/>
                <w:szCs w:val="12"/>
              </w:rPr>
              <w:t>Koncentrace (ng/ml)</w:t>
            </w:r>
          </w:p>
        </w:tc>
      </w:tr>
      <w:tr w:rsidR="00872005">
        <w:trPr>
          <w:trHeight w:val="164"/>
          <w:tblHeader/>
        </w:trPr>
        <w:tc>
          <w:tcPr>
            <w:tcW w:w="3273" w:type="dxa"/>
            <w:vAlign w:val="center"/>
          </w:tcPr>
          <w:p w:rsidR="00EE7251" w:rsidRDefault="007270C2">
            <w:pPr>
              <w:autoSpaceDE w:val="0"/>
              <w:autoSpaceDN w:val="0"/>
              <w:adjustRightInd w:val="0"/>
              <w:rPr>
                <w:rFonts w:ascii="Times New Roman" w:hAnsi="Times New Roman"/>
                <w:b/>
                <w:sz w:val="12"/>
                <w:szCs w:val="12"/>
              </w:rPr>
            </w:pPr>
            <w:r>
              <w:rPr>
                <w:rFonts w:ascii="Times New Roman" w:hAnsi="Times New Roman"/>
                <w:b/>
                <w:sz w:val="12"/>
                <w:szCs w:val="12"/>
              </w:rPr>
              <w:t>ACETAMINOFEN (ACE)</w:t>
            </w: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vAlign w:val="center"/>
          </w:tcPr>
          <w:p w:rsidR="00EE7251" w:rsidRDefault="007270C2">
            <w:pPr>
              <w:autoSpaceDE w:val="0"/>
              <w:autoSpaceDN w:val="0"/>
              <w:adjustRightInd w:val="0"/>
              <w:rPr>
                <w:rFonts w:ascii="Times New Roman" w:hAnsi="Times New Roman"/>
                <w:b/>
                <w:sz w:val="12"/>
                <w:szCs w:val="12"/>
              </w:rPr>
            </w:pPr>
            <w:r>
              <w:rPr>
                <w:rFonts w:ascii="Times New Roman" w:hAnsi="Times New Roman"/>
                <w:bCs/>
                <w:sz w:val="12"/>
                <w:szCs w:val="12"/>
              </w:rPr>
              <w:t>Acetaminofen</w:t>
            </w:r>
          </w:p>
        </w:tc>
        <w:tc>
          <w:tcPr>
            <w:tcW w:w="1507" w:type="dxa"/>
            <w:vAlign w:val="center"/>
          </w:tcPr>
          <w:p w:rsidR="00EE7251" w:rsidRDefault="007270C2">
            <w:pPr>
              <w:autoSpaceDE w:val="0"/>
              <w:autoSpaceDN w:val="0"/>
              <w:adjustRightInd w:val="0"/>
              <w:rPr>
                <w:rFonts w:ascii="Times New Roman" w:hAnsi="Times New Roman"/>
                <w:b/>
                <w:sz w:val="12"/>
                <w:szCs w:val="12"/>
              </w:rPr>
            </w:pPr>
            <w:r>
              <w:rPr>
                <w:rFonts w:ascii="Times New Roman" w:hAnsi="Times New Roman"/>
                <w:bCs/>
                <w:sz w:val="12"/>
                <w:szCs w:val="12"/>
              </w:rPr>
              <w:t>5 000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Cs/>
                <w:sz w:val="12"/>
                <w:szCs w:val="12"/>
              </w:rPr>
            </w:pPr>
          </w:p>
        </w:tc>
        <w:tc>
          <w:tcPr>
            <w:tcW w:w="1507" w:type="dxa"/>
            <w:vAlign w:val="center"/>
          </w:tcPr>
          <w:p w:rsidR="00EE7251" w:rsidRDefault="00EE7251">
            <w:pPr>
              <w:autoSpaceDE w:val="0"/>
              <w:autoSpaceDN w:val="0"/>
              <w:adjustRightInd w:val="0"/>
              <w:rPr>
                <w:rFonts w:ascii="Times New Roman" w:hAnsi="Times New Roman"/>
                <w:bCs/>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b/>
                <w:sz w:val="12"/>
                <w:szCs w:val="12"/>
              </w:rPr>
              <w:t>AMFETAMIN (AMP)</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D-amfetamin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1 000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D,L-amfetamin (amfetamin sulfát)</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1 000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Fentermin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1 250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(+/-)-4-hydroxyamfetamin HCL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600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3,4-methylendioxyamfetamin HCl (MDA)</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1 500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d-metamfetamin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1-metamfetamin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efedrin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3,4-methylendioxyethylamfetamin (MDE)</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3,4-methylendioxy-metamfetamin (MDMA)</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b/>
                <w:sz w:val="12"/>
                <w:szCs w:val="12"/>
              </w:rPr>
            </w:pPr>
            <w:r>
              <w:rPr>
                <w:rFonts w:ascii="Times New Roman" w:hAnsi="Times New Roman"/>
                <w:b/>
                <w:sz w:val="12"/>
                <w:szCs w:val="12"/>
              </w:rPr>
              <w:t>AMFETAMIN (AMP 500)</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autoSpaceDE w:val="0"/>
              <w:autoSpaceDN w:val="0"/>
              <w:adjustRightInd w:val="0"/>
              <w:jc w:val="left"/>
              <w:rPr>
                <w:rFonts w:ascii="Times New Roman" w:hAnsi="Times New Roman"/>
                <w:b/>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D-amfetamin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D,L-amfetamin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750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16 000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Fentermin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650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(+/-)-Methylendioxyamfetamin (MDA)</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800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d-metamfetamin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&gt;100 000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1-metamfetamin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&gt;100 000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efedrin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&gt;100 000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3,4-methylendioxyethylamfetamin (MDE)</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&gt;100 000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3,4-methylendioxy-metamfetamin (MDMA)</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&gt;100 000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b/>
                <w:sz w:val="12"/>
                <w:szCs w:val="12"/>
              </w:rPr>
            </w:pPr>
            <w:r>
              <w:rPr>
                <w:rFonts w:ascii="Times New Roman" w:hAnsi="Times New Roman"/>
                <w:b/>
                <w:sz w:val="12"/>
                <w:szCs w:val="12"/>
              </w:rPr>
              <w:t>AMFETAMIN (AMP 300)</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jc w:val="left"/>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D-amfetamin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300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D,L-amfetamin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450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L-amfetamin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9 000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Fentermin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450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(+/-)-methylendioxyamfetamin (MDA)</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600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b/>
                <w:sz w:val="12"/>
                <w:szCs w:val="12"/>
              </w:rPr>
              <w:t>BARBITURÁTY (BAR)</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Sekobarbital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300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Amobarbital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300</w:t>
            </w:r>
          </w:p>
        </w:tc>
      </w:tr>
      <w:tr w:rsidR="00872005">
        <w:trPr>
          <w:trHeight w:val="90"/>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Alfenal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750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Aprobarbital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250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Butabarbital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2 500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Butethal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2 500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Cyklo-pentobarbital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Pentobarbital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2 500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Fenobarbital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25 000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b/>
                <w:sz w:val="12"/>
                <w:szCs w:val="12"/>
              </w:rPr>
            </w:pPr>
            <w:r>
              <w:rPr>
                <w:rFonts w:ascii="Times New Roman" w:hAnsi="Times New Roman"/>
                <w:b/>
                <w:sz w:val="12"/>
                <w:szCs w:val="12"/>
              </w:rPr>
              <w:t>BARBITURATY (BAR 200)</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jc w:val="left"/>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Sekobarbital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Amobarbital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Alfenal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Aprobarbital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Butabarbital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Butethal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Butalbital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cyklopentobarbital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300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Pentobarbital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2 000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b/>
                <w:sz w:val="12"/>
                <w:szCs w:val="12"/>
              </w:rPr>
              <w:t>BUPRENORFIN (BUP)</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Buprenorfin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10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Norbuprenorfin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b/>
                <w:iCs/>
                <w:sz w:val="12"/>
                <w:szCs w:val="12"/>
              </w:rPr>
            </w:pPr>
            <w:r>
              <w:rPr>
                <w:rFonts w:ascii="Times New Roman" w:hAnsi="Times New Roman"/>
                <w:b/>
                <w:iCs/>
                <w:sz w:val="12"/>
                <w:szCs w:val="12"/>
              </w:rPr>
              <w:t>BENZODIAZEPINY (BZO)</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tabs>
                <w:tab w:val="left" w:pos="5220"/>
              </w:tabs>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Alprazolam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Bromazepam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1 560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Chlordiazepoxid HCL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1 560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Clobazam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100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Klonazepam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780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Klorazepát draselný</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Delorazepam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1 560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kern w:val="0"/>
                <w:sz w:val="12"/>
                <w:szCs w:val="12"/>
              </w:rPr>
            </w:pPr>
            <w:r>
              <w:rPr>
                <w:rFonts w:ascii="Times New Roman" w:hAnsi="Times New Roman"/>
                <w:sz w:val="12"/>
                <w:szCs w:val="12"/>
              </w:rPr>
              <w:t>Desalkylflurazepam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400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Diazepam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Estazolam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2 500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Flunitrazepam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400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a-Hydroxyalprazolam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1 260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w:t>
            </w:r>
            <w:r>
              <w:rPr>
                <w:rFonts w:ascii="Symbol" w:hAnsi="Symbol"/>
                <w:sz w:val="12"/>
                <w:szCs w:val="12"/>
              </w:rPr>
              <w:sym w:font="Symbol" w:char="F0B1"/>
            </w:r>
            <w:r>
              <w:rPr>
                <w:rFonts w:ascii="Times New Roman" w:hAnsi="Times New Roman"/>
                <w:sz w:val="12"/>
                <w:szCs w:val="12"/>
              </w:rPr>
              <w:t xml:space="preserve"> ) Lorazepam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1 560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RS-lorazepamglukuronid</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160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Midazolam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12 500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Nitrazepam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100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Norchlordiazepoxid</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Nordiazepam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400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Oxazepam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300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Temazepam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100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Triazolam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2 500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b/>
                <w:sz w:val="12"/>
                <w:szCs w:val="12"/>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b/>
                <w:iCs/>
                <w:sz w:val="12"/>
                <w:szCs w:val="12"/>
              </w:rPr>
            </w:pPr>
            <w:r>
              <w:rPr>
                <w:rFonts w:ascii="Times New Roman" w:hAnsi="Times New Roman"/>
                <w:b/>
                <w:iCs/>
                <w:sz w:val="12"/>
                <w:szCs w:val="12"/>
              </w:rPr>
              <w:t>BENZODIAZEPINY (BZO 200)</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tabs>
                <w:tab w:val="left" w:pos="5220"/>
              </w:tabs>
              <w:jc w:val="left"/>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Alprazolam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Bromazepam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Chlordiazepoxid HCL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Clobazam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80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Klonazepam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Klorazepát draselný</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Delorazepam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kern w:val="0"/>
                <w:sz w:val="12"/>
                <w:szCs w:val="12"/>
              </w:rPr>
            </w:pPr>
            <w:r>
              <w:rPr>
                <w:rFonts w:ascii="Times New Roman" w:hAnsi="Times New Roman"/>
                <w:sz w:val="12"/>
                <w:szCs w:val="12"/>
              </w:rPr>
              <w:t>Desalkylflurazepam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300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Diazepam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Estazolam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Flunitrazepam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300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a-Hydroxyalprazolam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840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w:t>
            </w:r>
            <w:r>
              <w:rPr>
                <w:rFonts w:ascii="Symbol" w:hAnsi="Symbol"/>
                <w:sz w:val="12"/>
                <w:szCs w:val="12"/>
              </w:rPr>
              <w:sym w:font="Symbol" w:char="F0B1"/>
            </w:r>
            <w:r>
              <w:rPr>
                <w:rFonts w:ascii="Times New Roman" w:hAnsi="Times New Roman"/>
                <w:sz w:val="12"/>
                <w:szCs w:val="12"/>
              </w:rPr>
              <w:t xml:space="preserve"> ) Lorazepam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RS-lorazepamglukuronid</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Midazolam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Nitrazepam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Norchlordiazepoxid</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Nordiazepam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300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Oxazepam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Temazepam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800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Triazolam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2 000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vAlign w:val="center"/>
          </w:tcPr>
          <w:p w:rsidR="00EE7251" w:rsidRDefault="007270C2">
            <w:pPr>
              <w:tabs>
                <w:tab w:val="left" w:pos="5220"/>
              </w:tabs>
              <w:rPr>
                <w:rFonts w:ascii="Times New Roman" w:hAnsi="Times New Roman"/>
                <w:b/>
                <w:sz w:val="12"/>
                <w:szCs w:val="12"/>
              </w:rPr>
            </w:pPr>
            <w:r>
              <w:rPr>
                <w:rFonts w:ascii="Times New Roman" w:hAnsi="Times New Roman"/>
                <w:b/>
                <w:sz w:val="12"/>
                <w:szCs w:val="12"/>
              </w:rPr>
              <w:t>KOKAIN (COC)</w:t>
            </w:r>
          </w:p>
        </w:tc>
        <w:tc>
          <w:tcPr>
            <w:tcW w:w="1507" w:type="dxa"/>
            <w:vAlign w:val="center"/>
          </w:tcPr>
          <w:p w:rsidR="00EE7251" w:rsidRDefault="00EE7251">
            <w:pPr>
              <w:tabs>
                <w:tab w:val="left" w:pos="5220"/>
              </w:tabs>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Benzoylecogonin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300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Kokaethylen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300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Kokain HCl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300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b/>
                <w:sz w:val="12"/>
                <w:szCs w:val="12"/>
              </w:rPr>
              <w:t>KOKAIN (COC 150)</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jc w:val="left"/>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Benzoylecogonin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150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Kokaethylen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2 500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Kokain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 xml:space="preserve">Ekgonin </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12 500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Methylester ekgoninu</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50 000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b/>
                <w:sz w:val="12"/>
                <w:szCs w:val="12"/>
              </w:rPr>
              <w:t>KOTININ (COT)</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autoSpaceDE w:val="0"/>
              <w:autoSpaceDN w:val="0"/>
              <w:adjustRightInd w:val="0"/>
              <w:jc w:val="left"/>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lastRenderedPageBreak/>
              <w:t>Kotin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200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Nikotin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6 250</w:t>
            </w:r>
          </w:p>
        </w:tc>
      </w:tr>
      <w:tr w:rsidR="00872005">
        <w:trPr>
          <w:trHeight w:val="148"/>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vAlign w:val="center"/>
          </w:tcPr>
          <w:p w:rsidR="00EE7251" w:rsidRDefault="007270C2">
            <w:pPr>
              <w:autoSpaceDE w:val="0"/>
              <w:autoSpaceDN w:val="0"/>
              <w:adjustRightInd w:val="0"/>
              <w:rPr>
                <w:rFonts w:ascii="Times New Roman" w:hAnsi="Times New Roman"/>
                <w:b/>
                <w:sz w:val="12"/>
                <w:szCs w:val="12"/>
              </w:rPr>
            </w:pPr>
            <w:r>
              <w:rPr>
                <w:rFonts w:ascii="Times New Roman" w:hAnsi="Times New Roman"/>
                <w:b/>
                <w:sz w:val="12"/>
                <w:szCs w:val="12"/>
              </w:rPr>
              <w:t>KLONAZEPAM (CLO)</w:t>
            </w: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vAlign w:val="center"/>
          </w:tcPr>
          <w:p w:rsidR="00EE7251" w:rsidRDefault="007270C2">
            <w:pPr>
              <w:autoSpaceDE w:val="0"/>
              <w:autoSpaceDN w:val="0"/>
              <w:adjustRightInd w:val="0"/>
              <w:rPr>
                <w:rFonts w:ascii="Times New Roman" w:hAnsi="Times New Roman"/>
                <w:bCs/>
                <w:sz w:val="12"/>
                <w:szCs w:val="12"/>
              </w:rPr>
            </w:pPr>
            <w:r>
              <w:rPr>
                <w:rFonts w:ascii="Times New Roman" w:hAnsi="Times New Roman"/>
                <w:bCs/>
                <w:sz w:val="12"/>
                <w:szCs w:val="12"/>
              </w:rPr>
              <w:t>7-aminoklonazepam</w:t>
            </w:r>
          </w:p>
        </w:tc>
        <w:tc>
          <w:tcPr>
            <w:tcW w:w="1507" w:type="dxa"/>
            <w:vAlign w:val="center"/>
          </w:tcPr>
          <w:p w:rsidR="00EE7251" w:rsidRDefault="007270C2">
            <w:pPr>
              <w:autoSpaceDE w:val="0"/>
              <w:autoSpaceDN w:val="0"/>
              <w:adjustRightInd w:val="0"/>
              <w:rPr>
                <w:rFonts w:ascii="Times New Roman" w:hAnsi="Times New Roman"/>
                <w:bCs/>
                <w:sz w:val="12"/>
                <w:szCs w:val="12"/>
              </w:rPr>
            </w:pPr>
            <w:r>
              <w:rPr>
                <w:rFonts w:ascii="Times New Roman" w:hAnsi="Times New Roman"/>
                <w:bCs/>
                <w:sz w:val="12"/>
                <w:szCs w:val="12"/>
              </w:rPr>
              <w:t>500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b/>
                <w:sz w:val="12"/>
                <w:szCs w:val="12"/>
              </w:rPr>
              <w:t xml:space="preserve">EXTAZIE (MDMA) </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D,L-3,4-methylendioxymetamfetamin (MDMA)</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3,4-methylendioxyamfetamin HCl (MDA)</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3 000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3,4-methylendioxyethylamfetamin (MDEA)</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300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bCs/>
                <w:sz w:val="12"/>
                <w:szCs w:val="12"/>
              </w:rPr>
            </w:pPr>
            <w:r>
              <w:rPr>
                <w:rFonts w:ascii="Times New Roman" w:hAnsi="Times New Roman"/>
                <w:sz w:val="12"/>
                <w:szCs w:val="12"/>
              </w:rPr>
              <w:t>d-metamfetamin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2 500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Cs/>
                <w:sz w:val="12"/>
                <w:szCs w:val="12"/>
                <w:lang w:val="fr-FR"/>
              </w:rPr>
            </w:pPr>
            <w:r>
              <w:rPr>
                <w:rFonts w:ascii="Times New Roman" w:hAnsi="Times New Roman"/>
                <w:sz w:val="12"/>
                <w:szCs w:val="12"/>
              </w:rPr>
              <w:t>d-amfetamin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Cs/>
                <w:sz w:val="12"/>
                <w:szCs w:val="12"/>
                <w:lang w:val="fr-FR"/>
              </w:rPr>
            </w:pPr>
            <w:r>
              <w:rPr>
                <w:rFonts w:ascii="Times New Roman" w:hAnsi="Times New Roman"/>
                <w:sz w:val="12"/>
                <w:szCs w:val="12"/>
              </w:rPr>
              <w:t>l-amfetamin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bCs/>
                <w:sz w:val="12"/>
                <w:szCs w:val="12"/>
              </w:rPr>
            </w:pPr>
            <w:r>
              <w:rPr>
                <w:rFonts w:ascii="Times New Roman" w:hAnsi="Times New Roman"/>
                <w:sz w:val="12"/>
                <w:szCs w:val="12"/>
              </w:rPr>
              <w:t>L-metamfetamin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vAlign w:val="center"/>
          </w:tcPr>
          <w:p w:rsidR="00EE7251" w:rsidRDefault="007270C2">
            <w:pPr>
              <w:autoSpaceDE w:val="0"/>
              <w:autoSpaceDN w:val="0"/>
              <w:adjustRightInd w:val="0"/>
              <w:rPr>
                <w:rFonts w:ascii="Times New Roman" w:hAnsi="Times New Roman"/>
                <w:b/>
                <w:sz w:val="12"/>
                <w:szCs w:val="12"/>
              </w:rPr>
            </w:pPr>
            <w:r>
              <w:rPr>
                <w:rFonts w:ascii="Times New Roman" w:hAnsi="Times New Roman"/>
                <w:b/>
                <w:sz w:val="12"/>
                <w:szCs w:val="12"/>
              </w:rPr>
              <w:t>ECSTASY (MDMA 2 000)</w:t>
            </w: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lang w:val="fr-FR"/>
              </w:rPr>
              <w:t>3,4-methylendioxyamfetamin HCl (MDA)</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12 000</w:t>
            </w:r>
          </w:p>
        </w:tc>
      </w:tr>
      <w:tr w:rsidR="00872005">
        <w:trPr>
          <w:trHeight w:val="164"/>
          <w:tblHeader/>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lang w:val="de-DE"/>
              </w:rPr>
              <w:t>3,4-methylendioxyethylamfetamin (MDEA)</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1 200</w:t>
            </w:r>
          </w:p>
        </w:tc>
      </w:tr>
      <w:tr w:rsidR="00872005">
        <w:trPr>
          <w:trHeight w:val="164"/>
          <w:tblHeader/>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lang w:val="fr-FR"/>
              </w:rPr>
              <w:t>L-metamfetamin</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5</w:t>
            </w:r>
            <w:r>
              <w:rPr>
                <w:rFonts w:ascii="Times New Roman" w:hAnsi="Times New Roman"/>
                <w:sz w:val="12"/>
                <w:szCs w:val="12"/>
                <w:lang w:val="fr-FR"/>
              </w:rPr>
              <w:t>0 000</w:t>
            </w:r>
          </w:p>
        </w:tc>
      </w:tr>
      <w:tr w:rsidR="00872005">
        <w:trPr>
          <w:trHeight w:val="164"/>
          <w:tblHeader/>
        </w:trPr>
        <w:tc>
          <w:tcPr>
            <w:tcW w:w="3273" w:type="dxa"/>
            <w:vAlign w:val="center"/>
          </w:tcPr>
          <w:p w:rsidR="00EE7251" w:rsidRDefault="007270C2">
            <w:pPr>
              <w:rPr>
                <w:rFonts w:ascii="Times New Roman" w:hAnsi="Times New Roman"/>
                <w:bCs/>
                <w:sz w:val="12"/>
                <w:szCs w:val="12"/>
              </w:rPr>
            </w:pPr>
            <w:r>
              <w:rPr>
                <w:rFonts w:ascii="Times New Roman" w:hAnsi="Times New Roman"/>
                <w:sz w:val="12"/>
                <w:szCs w:val="12"/>
              </w:rPr>
              <w:t>(±)-MDMA</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8 000</w:t>
            </w:r>
          </w:p>
        </w:tc>
      </w:tr>
      <w:tr w:rsidR="00872005">
        <w:trPr>
          <w:trHeight w:val="164"/>
          <w:tblHeader/>
        </w:trPr>
        <w:tc>
          <w:tcPr>
            <w:tcW w:w="3273" w:type="dxa"/>
            <w:vAlign w:val="center"/>
          </w:tcPr>
          <w:p w:rsidR="00EE7251" w:rsidRDefault="007270C2">
            <w:pPr>
              <w:rPr>
                <w:rFonts w:ascii="Times New Roman" w:hAnsi="Times New Roman"/>
                <w:bCs/>
                <w:sz w:val="12"/>
                <w:szCs w:val="12"/>
                <w:lang w:val="fr-FR"/>
              </w:rPr>
            </w:pPr>
            <w:r>
              <w:rPr>
                <w:rFonts w:ascii="Times New Roman" w:hAnsi="Times New Roman"/>
                <w:sz w:val="12"/>
                <w:szCs w:val="12"/>
                <w:lang w:val="fr-FR"/>
              </w:rPr>
              <w:t>D-metamfetamin</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lang w:val="fr-FR"/>
              </w:rPr>
              <w:t>&gt;400 000</w:t>
            </w:r>
          </w:p>
        </w:tc>
      </w:tr>
      <w:tr w:rsidR="00872005">
        <w:trPr>
          <w:trHeight w:val="164"/>
          <w:tblHeader/>
        </w:trPr>
        <w:tc>
          <w:tcPr>
            <w:tcW w:w="3273" w:type="dxa"/>
            <w:vAlign w:val="center"/>
          </w:tcPr>
          <w:p w:rsidR="00EE7251" w:rsidRDefault="007270C2">
            <w:pPr>
              <w:rPr>
                <w:rFonts w:ascii="Times New Roman" w:hAnsi="Times New Roman"/>
                <w:bCs/>
                <w:sz w:val="12"/>
                <w:szCs w:val="12"/>
                <w:lang w:val="fr-FR"/>
              </w:rPr>
            </w:pPr>
            <w:r>
              <w:rPr>
                <w:rFonts w:ascii="Times New Roman" w:hAnsi="Times New Roman"/>
                <w:sz w:val="12"/>
                <w:szCs w:val="12"/>
                <w:lang w:val="fr-FR"/>
              </w:rPr>
              <w:t>D-amfetamin</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lang w:val="fr-FR"/>
              </w:rPr>
              <w:t>&gt;400 000</w:t>
            </w:r>
          </w:p>
        </w:tc>
      </w:tr>
      <w:tr w:rsidR="00872005">
        <w:trPr>
          <w:trHeight w:val="164"/>
          <w:tblHeader/>
        </w:trPr>
        <w:tc>
          <w:tcPr>
            <w:tcW w:w="3273" w:type="dxa"/>
            <w:vAlign w:val="center"/>
          </w:tcPr>
          <w:p w:rsidR="00EE7251" w:rsidRDefault="007270C2">
            <w:pPr>
              <w:rPr>
                <w:rFonts w:ascii="Times New Roman" w:hAnsi="Times New Roman"/>
                <w:bCs/>
                <w:sz w:val="12"/>
                <w:szCs w:val="12"/>
              </w:rPr>
            </w:pPr>
            <w:r>
              <w:rPr>
                <w:rFonts w:ascii="Times New Roman" w:hAnsi="Times New Roman"/>
                <w:sz w:val="12"/>
                <w:szCs w:val="12"/>
                <w:lang w:val="fr-FR"/>
              </w:rPr>
              <w:t>L-amfetamin</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lang w:val="fr-FR"/>
              </w:rPr>
              <w:t>&gt;400 000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b/>
                <w:sz w:val="12"/>
                <w:szCs w:val="12"/>
              </w:rPr>
              <w:t>ETHYLGLUKURONID (EtG 500)</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Ethyl-β-D-glukuronid</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Etyl-β-D-glukuronid-D5</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b/>
                <w:sz w:val="12"/>
                <w:szCs w:val="12"/>
              </w:rPr>
              <w:t>ETHYLGLUKURONID (EtG 300)</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Etyl-β-D-glukuronid</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300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Etyl-β-D-glukuronid-D5</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300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b/>
                <w:sz w:val="12"/>
                <w:szCs w:val="12"/>
              </w:rPr>
              <w:t>FENTANYL (FEN)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Norfentanyl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Fentanyl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300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b/>
                <w:sz w:val="12"/>
                <w:szCs w:val="12"/>
              </w:rPr>
              <w:t>FENTANYL (FEN 200)</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Norfentanyl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15</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Fentanyl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 xml:space="preserve">Sufentanyl </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50 000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 xml:space="preserve">Fenfluramin </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50 000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b/>
                <w:bCs/>
                <w:sz w:val="12"/>
                <w:szCs w:val="12"/>
              </w:rPr>
              <w:t>FENTANYL (FEN 20)</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sz w:val="12"/>
                <w:szCs w:val="12"/>
              </w:rPr>
              <w:t>Norfentanyl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sz w:val="12"/>
                <w:szCs w:val="12"/>
              </w:rPr>
              <w:t>Fentanyl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300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vAlign w:val="center"/>
          </w:tcPr>
          <w:p w:rsidR="00EE7251" w:rsidRDefault="007270C2">
            <w:pPr>
              <w:autoSpaceDE w:val="0"/>
              <w:autoSpaceDN w:val="0"/>
              <w:adjustRightInd w:val="0"/>
              <w:rPr>
                <w:rFonts w:ascii="Times New Roman" w:hAnsi="Times New Roman"/>
                <w:b/>
                <w:sz w:val="12"/>
                <w:szCs w:val="12"/>
              </w:rPr>
            </w:pPr>
            <w:r>
              <w:rPr>
                <w:rFonts w:ascii="Times New Roman" w:hAnsi="Times New Roman"/>
                <w:b/>
                <w:sz w:val="12"/>
                <w:szCs w:val="12"/>
              </w:rPr>
              <w:t>FENTANYL (FEN 10)</w:t>
            </w: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90"/>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Norfentanyl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10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Fentanyl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150</w:t>
            </w:r>
          </w:p>
        </w:tc>
      </w:tr>
      <w:tr w:rsidR="00872005">
        <w:trPr>
          <w:trHeight w:val="164"/>
          <w:tblHeader/>
        </w:trPr>
        <w:tc>
          <w:tcPr>
            <w:tcW w:w="3273" w:type="dxa"/>
            <w:vAlign w:val="center"/>
          </w:tcPr>
          <w:p w:rsidR="00EE7251" w:rsidRDefault="00EE7251">
            <w:pPr>
              <w:autoSpaceDE w:val="0"/>
              <w:autoSpaceDN w:val="0"/>
              <w:adjustRightInd w:val="0"/>
              <w:spacing w:line="0" w:lineRule="atLeast"/>
              <w:jc w:val="left"/>
              <w:rPr>
                <w:rFonts w:ascii="Times New Roman" w:hAnsi="Times New Roman"/>
                <w:sz w:val="12"/>
                <w:szCs w:val="12"/>
              </w:rPr>
            </w:pPr>
          </w:p>
        </w:tc>
        <w:tc>
          <w:tcPr>
            <w:tcW w:w="1507" w:type="dxa"/>
            <w:vAlign w:val="center"/>
          </w:tcPr>
          <w:p w:rsidR="00EE7251" w:rsidRDefault="00EE7251">
            <w:pPr>
              <w:autoSpaceDE w:val="0"/>
              <w:autoSpaceDN w:val="0"/>
              <w:adjustRightInd w:val="0"/>
              <w:spacing w:line="0" w:lineRule="atLeast"/>
              <w:jc w:val="left"/>
              <w:rPr>
                <w:rFonts w:ascii="Times New Roman" w:hAnsi="Times New Roman"/>
                <w:sz w:val="12"/>
                <w:szCs w:val="12"/>
              </w:rPr>
            </w:pPr>
          </w:p>
        </w:tc>
      </w:tr>
      <w:tr w:rsidR="00872005">
        <w:trPr>
          <w:trHeight w:val="164"/>
          <w:tblHeader/>
        </w:trPr>
        <w:tc>
          <w:tcPr>
            <w:tcW w:w="3273"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b/>
                <w:sz w:val="12"/>
                <w:szCs w:val="12"/>
              </w:rPr>
              <w:t>GABAPENTIN (GAB)</w:t>
            </w:r>
          </w:p>
        </w:tc>
        <w:tc>
          <w:tcPr>
            <w:tcW w:w="1507" w:type="dxa"/>
            <w:vAlign w:val="center"/>
          </w:tcPr>
          <w:p w:rsidR="00EE7251" w:rsidRDefault="00EE7251">
            <w:pPr>
              <w:autoSpaceDE w:val="0"/>
              <w:autoSpaceDN w:val="0"/>
              <w:adjustRightInd w:val="0"/>
              <w:spacing w:line="0" w:lineRule="atLeast"/>
              <w:jc w:val="left"/>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Gabapentin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1 000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Pregabalin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40 000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Ibuprofen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4 500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Triazolam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30 000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Bilirubin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50 000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Diflunisal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10 000</w:t>
            </w:r>
          </w:p>
        </w:tc>
      </w:tr>
      <w:tr w:rsidR="00872005">
        <w:trPr>
          <w:trHeight w:val="164"/>
          <w:tblHeader/>
        </w:trPr>
        <w:tc>
          <w:tcPr>
            <w:tcW w:w="3273" w:type="dxa"/>
            <w:vAlign w:val="center"/>
          </w:tcPr>
          <w:p w:rsidR="00EE7251" w:rsidRDefault="00EE7251">
            <w:pPr>
              <w:autoSpaceDE w:val="0"/>
              <w:autoSpaceDN w:val="0"/>
              <w:adjustRightInd w:val="0"/>
              <w:spacing w:line="0" w:lineRule="atLeast"/>
              <w:jc w:val="left"/>
              <w:rPr>
                <w:rFonts w:ascii="Times New Roman" w:hAnsi="Times New Roman"/>
                <w:sz w:val="12"/>
                <w:szCs w:val="12"/>
              </w:rPr>
            </w:pPr>
          </w:p>
        </w:tc>
        <w:tc>
          <w:tcPr>
            <w:tcW w:w="1507" w:type="dxa"/>
            <w:vAlign w:val="center"/>
          </w:tcPr>
          <w:p w:rsidR="00EE7251" w:rsidRDefault="00EE7251">
            <w:pPr>
              <w:autoSpaceDE w:val="0"/>
              <w:autoSpaceDN w:val="0"/>
              <w:adjustRightInd w:val="0"/>
              <w:spacing w:line="0" w:lineRule="atLeast"/>
              <w:jc w:val="left"/>
              <w:rPr>
                <w:rFonts w:ascii="Times New Roman" w:hAnsi="Times New Roman"/>
                <w:sz w:val="12"/>
                <w:szCs w:val="12"/>
              </w:rPr>
            </w:pPr>
          </w:p>
        </w:tc>
      </w:tr>
      <w:tr w:rsidR="00872005">
        <w:trPr>
          <w:trHeight w:val="164"/>
          <w:tblHeader/>
        </w:trPr>
        <w:tc>
          <w:tcPr>
            <w:tcW w:w="3273" w:type="dxa"/>
            <w:vAlign w:val="center"/>
          </w:tcPr>
          <w:p w:rsidR="00EE7251" w:rsidRDefault="007270C2">
            <w:pPr>
              <w:autoSpaceDE w:val="0"/>
              <w:autoSpaceDN w:val="0"/>
              <w:adjustRightInd w:val="0"/>
              <w:spacing w:line="0" w:lineRule="atLeast"/>
              <w:jc w:val="left"/>
              <w:rPr>
                <w:rFonts w:ascii="Times New Roman" w:hAnsi="Times New Roman"/>
                <w:b/>
                <w:sz w:val="12"/>
                <w:szCs w:val="12"/>
              </w:rPr>
            </w:pPr>
            <w:r>
              <w:rPr>
                <w:rFonts w:ascii="Times New Roman" w:hAnsi="Times New Roman"/>
                <w:b/>
                <w:sz w:val="12"/>
                <w:szCs w:val="12"/>
              </w:rPr>
              <w:t>HYDROKODON (HCD)</w:t>
            </w:r>
          </w:p>
        </w:tc>
        <w:tc>
          <w:tcPr>
            <w:tcW w:w="1507" w:type="dxa"/>
            <w:vAlign w:val="center"/>
          </w:tcPr>
          <w:p w:rsidR="00EE7251" w:rsidRDefault="00EE7251">
            <w:pPr>
              <w:autoSpaceDE w:val="0"/>
              <w:autoSpaceDN w:val="0"/>
              <w:adjustRightInd w:val="0"/>
              <w:spacing w:line="0" w:lineRule="atLeast"/>
              <w:jc w:val="left"/>
              <w:rPr>
                <w:rFonts w:ascii="Times New Roman" w:hAnsi="Times New Roman"/>
                <w:sz w:val="12"/>
                <w:szCs w:val="12"/>
              </w:rPr>
            </w:pPr>
          </w:p>
        </w:tc>
      </w:tr>
      <w:tr w:rsidR="00872005">
        <w:trPr>
          <w:trHeight w:val="164"/>
          <w:tblHeader/>
        </w:trPr>
        <w:tc>
          <w:tcPr>
            <w:tcW w:w="3273"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Dihydrokodein HCL</w:t>
            </w:r>
          </w:p>
        </w:tc>
        <w:tc>
          <w:tcPr>
            <w:tcW w:w="1507"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312,5</w:t>
            </w:r>
          </w:p>
        </w:tc>
      </w:tr>
      <w:tr w:rsidR="00872005">
        <w:trPr>
          <w:trHeight w:val="164"/>
          <w:tblHeader/>
        </w:trPr>
        <w:tc>
          <w:tcPr>
            <w:tcW w:w="3273"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Ethylmorfin</w:t>
            </w:r>
          </w:p>
        </w:tc>
        <w:tc>
          <w:tcPr>
            <w:tcW w:w="1507"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10 000</w:t>
            </w:r>
          </w:p>
        </w:tc>
      </w:tr>
      <w:tr w:rsidR="00872005">
        <w:trPr>
          <w:trHeight w:val="164"/>
          <w:tblHeader/>
        </w:trPr>
        <w:tc>
          <w:tcPr>
            <w:tcW w:w="3273"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Hydrokodon</w:t>
            </w:r>
          </w:p>
        </w:tc>
        <w:tc>
          <w:tcPr>
            <w:tcW w:w="1507"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10</w:t>
            </w:r>
          </w:p>
        </w:tc>
      </w:tr>
      <w:tr w:rsidR="00872005">
        <w:trPr>
          <w:trHeight w:val="164"/>
          <w:tblHeader/>
        </w:trPr>
        <w:tc>
          <w:tcPr>
            <w:tcW w:w="3273"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Hydromorfon</w:t>
            </w:r>
          </w:p>
        </w:tc>
        <w:tc>
          <w:tcPr>
            <w:tcW w:w="1507"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2 500</w:t>
            </w:r>
          </w:p>
        </w:tc>
      </w:tr>
      <w:tr w:rsidR="00872005">
        <w:trPr>
          <w:trHeight w:val="164"/>
          <w:tblHeader/>
        </w:trPr>
        <w:tc>
          <w:tcPr>
            <w:tcW w:w="3273"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Levorfanol</w:t>
            </w:r>
          </w:p>
        </w:tc>
        <w:tc>
          <w:tcPr>
            <w:tcW w:w="1507"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10 000</w:t>
            </w:r>
          </w:p>
        </w:tc>
      </w:tr>
      <w:tr w:rsidR="00872005">
        <w:trPr>
          <w:trHeight w:val="164"/>
          <w:tblHeader/>
        </w:trPr>
        <w:tc>
          <w:tcPr>
            <w:tcW w:w="3273"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Oxymorfon-D3</w:t>
            </w:r>
          </w:p>
        </w:tc>
        <w:tc>
          <w:tcPr>
            <w:tcW w:w="1507"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10 000</w:t>
            </w:r>
          </w:p>
        </w:tc>
      </w:tr>
      <w:tr w:rsidR="00872005">
        <w:trPr>
          <w:trHeight w:val="164"/>
          <w:tblHeader/>
        </w:trPr>
        <w:tc>
          <w:tcPr>
            <w:tcW w:w="3273"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Kodein</w:t>
            </w:r>
          </w:p>
        </w:tc>
        <w:tc>
          <w:tcPr>
            <w:tcW w:w="1507"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2 500</w:t>
            </w:r>
          </w:p>
        </w:tc>
      </w:tr>
      <w:tr w:rsidR="00872005">
        <w:trPr>
          <w:trHeight w:val="164"/>
          <w:tblHeader/>
        </w:trPr>
        <w:tc>
          <w:tcPr>
            <w:tcW w:w="3273"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Heroin Hydromorfon</w:t>
            </w:r>
          </w:p>
        </w:tc>
        <w:tc>
          <w:tcPr>
            <w:tcW w:w="1507"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&gt;100 000</w:t>
            </w:r>
          </w:p>
        </w:tc>
      </w:tr>
      <w:tr w:rsidR="00872005">
        <w:trPr>
          <w:trHeight w:val="164"/>
          <w:tblHeader/>
        </w:trPr>
        <w:tc>
          <w:tcPr>
            <w:tcW w:w="3273"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Oxymorfon</w:t>
            </w:r>
          </w:p>
        </w:tc>
        <w:tc>
          <w:tcPr>
            <w:tcW w:w="1507"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&gt;100 000</w:t>
            </w:r>
          </w:p>
        </w:tc>
      </w:tr>
      <w:tr w:rsidR="00872005">
        <w:trPr>
          <w:trHeight w:val="164"/>
          <w:tblHeader/>
        </w:trPr>
        <w:tc>
          <w:tcPr>
            <w:tcW w:w="3273"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6-acetylmorfin</w:t>
            </w:r>
          </w:p>
        </w:tc>
        <w:tc>
          <w:tcPr>
            <w:tcW w:w="1507"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&gt;100 000</w:t>
            </w:r>
          </w:p>
        </w:tc>
      </w:tr>
      <w:tr w:rsidR="00872005">
        <w:trPr>
          <w:trHeight w:val="164"/>
          <w:tblHeader/>
        </w:trPr>
        <w:tc>
          <w:tcPr>
            <w:tcW w:w="3273"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Nalorfin</w:t>
            </w:r>
          </w:p>
        </w:tc>
        <w:tc>
          <w:tcPr>
            <w:tcW w:w="1507"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&gt;100 000</w:t>
            </w:r>
          </w:p>
        </w:tc>
      </w:tr>
      <w:tr w:rsidR="00872005">
        <w:trPr>
          <w:trHeight w:val="164"/>
          <w:tblHeader/>
        </w:trPr>
        <w:tc>
          <w:tcPr>
            <w:tcW w:w="3273"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Norcodein</w:t>
            </w:r>
          </w:p>
        </w:tc>
        <w:tc>
          <w:tcPr>
            <w:tcW w:w="1507"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50 000</w:t>
            </w:r>
          </w:p>
        </w:tc>
      </w:tr>
      <w:tr w:rsidR="00872005">
        <w:trPr>
          <w:trHeight w:val="164"/>
          <w:tblHeader/>
        </w:trPr>
        <w:tc>
          <w:tcPr>
            <w:tcW w:w="3273"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Morfin</w:t>
            </w:r>
          </w:p>
        </w:tc>
        <w:tc>
          <w:tcPr>
            <w:tcW w:w="1507" w:type="dxa"/>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100 000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vAlign w:val="center"/>
          </w:tcPr>
          <w:p w:rsidR="00EE7251" w:rsidRDefault="007270C2">
            <w:pPr>
              <w:autoSpaceDE w:val="0"/>
              <w:autoSpaceDN w:val="0"/>
              <w:adjustRightInd w:val="0"/>
              <w:rPr>
                <w:rFonts w:ascii="Times New Roman" w:hAnsi="Times New Roman"/>
                <w:b/>
                <w:sz w:val="12"/>
                <w:szCs w:val="12"/>
              </w:rPr>
            </w:pPr>
            <w:r>
              <w:rPr>
                <w:rFonts w:ascii="Times New Roman" w:hAnsi="Times New Roman"/>
                <w:b/>
                <w:sz w:val="12"/>
                <w:szCs w:val="12"/>
              </w:rPr>
              <w:t>HYDROMORFON (HMO)</w:t>
            </w: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Hydromorfon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300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Ranitidin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50 000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Gatifloxacin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6 250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Prokain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25 000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Morfin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12 500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Kotein fosfát</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12 500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Heroin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3 125</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 xml:space="preserve">Hydrochlorid naloxonu </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80 000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 xml:space="preserve">Hydrochlorid naltrexonu </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781</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Dihydrokodein HCL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1 526</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Hydrokodon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195</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Levorfanol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50 000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Oxymorfon-D3</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97,65</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Kodein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6 250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Heroin Hydromorfon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6 250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Oxymorfon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24,4</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6-acetylmorfin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50 000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LAAM HCl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50 000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b/>
                <w:sz w:val="12"/>
                <w:szCs w:val="12"/>
              </w:rPr>
              <w:t>K2 (SYNTETICKÝ KANABINOID)</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rsidP="007C2996">
            <w:pPr>
              <w:jc w:val="left"/>
              <w:rPr>
                <w:rFonts w:ascii="Times New Roman" w:hAnsi="Times New Roman"/>
                <w:sz w:val="12"/>
                <w:szCs w:val="12"/>
              </w:rPr>
            </w:pPr>
            <w:r>
              <w:rPr>
                <w:rFonts w:ascii="Times New Roman" w:hAnsi="Times New Roman"/>
                <w:sz w:val="12"/>
                <w:szCs w:val="12"/>
              </w:rPr>
              <w:t>JWH-018 Metabolit kyseliny 5-pentanové</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50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rsidP="007C2996">
            <w:pPr>
              <w:jc w:val="left"/>
              <w:rPr>
                <w:rFonts w:ascii="Times New Roman" w:hAnsi="Times New Roman"/>
                <w:sz w:val="12"/>
                <w:szCs w:val="12"/>
              </w:rPr>
            </w:pPr>
            <w:r>
              <w:rPr>
                <w:rFonts w:ascii="Times New Roman" w:hAnsi="Times New Roman"/>
                <w:sz w:val="12"/>
                <w:szCs w:val="12"/>
              </w:rPr>
              <w:t>Metabolit JWH-018 5-hydroxypentyl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rsidP="007C2996">
            <w:pPr>
              <w:jc w:val="left"/>
              <w:rPr>
                <w:rFonts w:ascii="Times New Roman" w:hAnsi="Times New Roman"/>
                <w:sz w:val="12"/>
                <w:szCs w:val="12"/>
              </w:rPr>
            </w:pPr>
            <w:r>
              <w:rPr>
                <w:rFonts w:ascii="Times New Roman" w:hAnsi="Times New Roman"/>
                <w:sz w:val="12"/>
                <w:szCs w:val="12"/>
              </w:rPr>
              <w:t>Metabolit 4-hydroxypentyl JWH-018</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400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rsidP="007C2996">
            <w:pPr>
              <w:jc w:val="left"/>
              <w:rPr>
                <w:rFonts w:ascii="Times New Roman" w:hAnsi="Times New Roman"/>
                <w:sz w:val="12"/>
                <w:szCs w:val="12"/>
              </w:rPr>
            </w:pPr>
            <w:r>
              <w:rPr>
                <w:rFonts w:ascii="Times New Roman" w:hAnsi="Times New Roman"/>
                <w:sz w:val="12"/>
                <w:szCs w:val="12"/>
              </w:rPr>
              <w:t xml:space="preserve">Roztok metabolitu N-(4-hydroxypentyl) JWH-018 </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5 000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rsidP="007C2996">
            <w:pPr>
              <w:jc w:val="left"/>
              <w:rPr>
                <w:rFonts w:ascii="Times New Roman" w:hAnsi="Times New Roman"/>
                <w:sz w:val="12"/>
                <w:szCs w:val="12"/>
              </w:rPr>
            </w:pPr>
            <w:r>
              <w:rPr>
                <w:rFonts w:ascii="Times New Roman" w:hAnsi="Times New Roman"/>
                <w:sz w:val="12"/>
                <w:szCs w:val="12"/>
              </w:rPr>
              <w:t>JWH-019 5-hydroxyhexylmetabolit</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&lt;10 000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rsidP="007C2996">
            <w:pPr>
              <w:jc w:val="left"/>
              <w:rPr>
                <w:rFonts w:ascii="Times New Roman" w:hAnsi="Times New Roman"/>
                <w:sz w:val="12"/>
                <w:szCs w:val="12"/>
              </w:rPr>
            </w:pPr>
            <w:r>
              <w:rPr>
                <w:rFonts w:ascii="Times New Roman" w:hAnsi="Times New Roman"/>
                <w:sz w:val="12"/>
                <w:szCs w:val="12"/>
              </w:rPr>
              <w:t>JWH-019 6-hydroxyhexyl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5 000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rsidP="007C2996">
            <w:pPr>
              <w:jc w:val="left"/>
              <w:rPr>
                <w:rFonts w:ascii="Times New Roman" w:hAnsi="Times New Roman"/>
                <w:sz w:val="12"/>
                <w:szCs w:val="12"/>
              </w:rPr>
            </w:pPr>
            <w:r>
              <w:rPr>
                <w:rFonts w:ascii="Times New Roman" w:hAnsi="Times New Roman"/>
                <w:sz w:val="12"/>
                <w:szCs w:val="12"/>
              </w:rPr>
              <w:t>JWH-073 metabolit kyseliny 4-butanové</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50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rsidP="007C2996">
            <w:pPr>
              <w:jc w:val="left"/>
              <w:rPr>
                <w:rFonts w:ascii="Times New Roman" w:hAnsi="Times New Roman"/>
                <w:sz w:val="12"/>
                <w:szCs w:val="12"/>
              </w:rPr>
            </w:pPr>
            <w:r>
              <w:rPr>
                <w:rFonts w:ascii="Times New Roman" w:hAnsi="Times New Roman"/>
                <w:sz w:val="12"/>
                <w:szCs w:val="12"/>
              </w:rPr>
              <w:t>JWH-073 metabolit 4-hydroxybutyl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rsidP="007C2996">
            <w:pPr>
              <w:jc w:val="left"/>
              <w:rPr>
                <w:rFonts w:ascii="Times New Roman" w:hAnsi="Times New Roman"/>
                <w:sz w:val="12"/>
                <w:szCs w:val="12"/>
              </w:rPr>
            </w:pPr>
            <w:r>
              <w:rPr>
                <w:rFonts w:ascii="Times New Roman" w:hAnsi="Times New Roman"/>
                <w:sz w:val="12"/>
                <w:szCs w:val="12"/>
              </w:rPr>
              <w:t>JWH-210 roztok metabolitu 5-hydroxypentyl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&lt;10 000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rsidP="007C2996">
            <w:pPr>
              <w:jc w:val="left"/>
              <w:rPr>
                <w:rFonts w:ascii="Times New Roman" w:hAnsi="Times New Roman"/>
                <w:sz w:val="12"/>
                <w:szCs w:val="12"/>
              </w:rPr>
            </w:pPr>
            <w:r>
              <w:rPr>
                <w:rFonts w:ascii="Times New Roman" w:hAnsi="Times New Roman"/>
                <w:sz w:val="12"/>
                <w:szCs w:val="12"/>
              </w:rPr>
              <w:t>JWH-122 roztok metabolitu 5-hydroxypentyl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&lt;10 000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rsidP="007C2996">
            <w:pPr>
              <w:jc w:val="left"/>
              <w:rPr>
                <w:rFonts w:ascii="Times New Roman" w:hAnsi="Times New Roman"/>
                <w:sz w:val="12"/>
                <w:szCs w:val="12"/>
              </w:rPr>
            </w:pPr>
            <w:r>
              <w:rPr>
                <w:rFonts w:ascii="Times New Roman" w:hAnsi="Times New Roman"/>
                <w:sz w:val="12"/>
                <w:szCs w:val="12"/>
              </w:rPr>
              <w:t>Roztok směsi kanabinoidů Spice 3</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&lt;10 000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rsidP="007C2996">
            <w:pPr>
              <w:jc w:val="left"/>
              <w:rPr>
                <w:rFonts w:ascii="Times New Roman" w:hAnsi="Times New Roman"/>
                <w:sz w:val="12"/>
                <w:szCs w:val="12"/>
              </w:rPr>
            </w:pPr>
            <w:r>
              <w:rPr>
                <w:rFonts w:ascii="Times New Roman" w:hAnsi="Times New Roman"/>
                <w:sz w:val="12"/>
                <w:szCs w:val="12"/>
              </w:rPr>
              <w:t>Roztok metabolitu JWH-122 4-hydroxypentyl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&lt;10 000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rsidP="007C2996">
            <w:pPr>
              <w:jc w:val="left"/>
              <w:rPr>
                <w:rFonts w:ascii="Times New Roman" w:hAnsi="Times New Roman"/>
                <w:sz w:val="12"/>
                <w:szCs w:val="12"/>
              </w:rPr>
            </w:pPr>
            <w:r>
              <w:rPr>
                <w:rFonts w:ascii="Times New Roman" w:hAnsi="Times New Roman"/>
                <w:sz w:val="12"/>
                <w:szCs w:val="12"/>
              </w:rPr>
              <w:t>Roztok metabolitu JWH-122 4-hydroxypentyl-D5</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&lt;10 000</w:t>
            </w:r>
          </w:p>
        </w:tc>
      </w:tr>
      <w:tr w:rsidR="00872005">
        <w:trPr>
          <w:trHeight w:val="90"/>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rsidP="007C2996">
            <w:pPr>
              <w:jc w:val="left"/>
              <w:rPr>
                <w:rFonts w:ascii="Times New Roman" w:hAnsi="Times New Roman"/>
                <w:sz w:val="12"/>
                <w:szCs w:val="12"/>
              </w:rPr>
            </w:pPr>
            <w:r>
              <w:rPr>
                <w:rFonts w:ascii="Times New Roman" w:hAnsi="Times New Roman"/>
                <w:sz w:val="12"/>
                <w:szCs w:val="12"/>
              </w:rPr>
              <w:t>Metabolit JWH-019 5-hydroxyhexyl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&lt;10 000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rsidP="007C2996">
            <w:pPr>
              <w:jc w:val="left"/>
              <w:rPr>
                <w:rFonts w:ascii="Times New Roman" w:hAnsi="Times New Roman"/>
                <w:sz w:val="12"/>
                <w:szCs w:val="12"/>
              </w:rPr>
            </w:pPr>
            <w:r>
              <w:rPr>
                <w:rFonts w:ascii="Times New Roman" w:hAnsi="Times New Roman"/>
                <w:sz w:val="12"/>
                <w:szCs w:val="12"/>
              </w:rPr>
              <w:t>JWH-018 N-(4-hydroxypentyl) metabolit, roztok</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&lt;10 000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rsidP="007C2996">
            <w:pPr>
              <w:jc w:val="left"/>
              <w:rPr>
                <w:rFonts w:ascii="Times New Roman" w:hAnsi="Times New Roman"/>
                <w:sz w:val="12"/>
                <w:szCs w:val="12"/>
              </w:rPr>
            </w:pPr>
            <w:r>
              <w:rPr>
                <w:rFonts w:ascii="Times New Roman" w:hAnsi="Times New Roman"/>
                <w:sz w:val="12"/>
                <w:szCs w:val="12"/>
              </w:rPr>
              <w:t>JWH-073 roztok metabolitu N-(3-hydroxybutyl)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&lt;10 000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b/>
                <w:sz w:val="12"/>
                <w:szCs w:val="12"/>
              </w:rPr>
              <w:t>K2 (SYNTETICKÝ KANABINOID) 25 ng/ml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JWH-018 metabolit kyseliny 5-pentanové</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25</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JWH-018 metabolit 5-hydroxypentyl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250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Metabolit 4-hydroxypentyl JWH-018</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 xml:space="preserve">Roztok metabolitu N-(4-hydroxypentyl) JWH-018 </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2 500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JWH-019 5-hydroxyhexylmetabolit</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&lt;10 000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JWH-019 6-hydroxyhexyl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2 500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JWH-073 metabolit kyseliny 4-butanové</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25</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JWH-073 metabolit 4-hydroxybutyl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250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JWH-210 roztok metabolitu 5-hydroxypentyl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&lt;10 000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JWH-122 roztok metabolitu 5-hydroxypentyl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&lt;10 000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Směs kanabinoidů Spice 3, roztok</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&lt;10 000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Roztok metabolitu JWH-122 4-hydroxypentyl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&lt;10 000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Roztok metabolitu JWH-122 4-hydroxypentyl-D5</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&lt;10 000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Metabolit JWH-019 5-hydroxyhexyl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&lt;10 000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JWH-018 N-(4-hydroxypentyl) metabolit, roztok</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&lt;10 000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JWH-073 roztok metabolitu N-(3-hydroxybutyl)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&lt;10 000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b/>
                <w:sz w:val="12"/>
                <w:szCs w:val="12"/>
              </w:rPr>
              <w:t>K3 (AB-PINACA)</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AB-PINACA 5-hydroxypentyl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AB-PINACA 4-hydroxypentylový metabolit</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AB-PINACA</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AB-FUPINACA</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snapToGrid w:val="0"/>
              <w:rPr>
                <w:rFonts w:ascii="Times New Roman" w:hAnsi="Times New Roman"/>
                <w:sz w:val="12"/>
                <w:szCs w:val="12"/>
              </w:rPr>
            </w:pPr>
            <w:r>
              <w:rPr>
                <w:rFonts w:ascii="Times New Roman" w:hAnsi="Times New Roman"/>
                <w:b/>
                <w:sz w:val="12"/>
                <w:szCs w:val="12"/>
              </w:rPr>
              <w:t>KETAMIN (KET)</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snapToGrid w:val="0"/>
              <w:jc w:val="right"/>
              <w:rPr>
                <w:rFonts w:ascii="Times New Roman" w:hAnsi="Times New Roman"/>
                <w:bCs/>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snapToGrid w:val="0"/>
              <w:rPr>
                <w:rFonts w:ascii="Times New Roman" w:hAnsi="Times New Roman"/>
                <w:sz w:val="12"/>
                <w:szCs w:val="12"/>
              </w:rPr>
            </w:pPr>
            <w:r>
              <w:rPr>
                <w:rFonts w:ascii="Times New Roman" w:hAnsi="Times New Roman"/>
                <w:sz w:val="12"/>
                <w:szCs w:val="12"/>
              </w:rPr>
              <w:t>Ketamin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snapToGrid w:val="0"/>
              <w:jc w:val="left"/>
              <w:rPr>
                <w:rFonts w:ascii="Times New Roman" w:hAnsi="Times New Roman"/>
                <w:bCs/>
                <w:sz w:val="12"/>
                <w:szCs w:val="12"/>
              </w:rPr>
            </w:pPr>
            <w:r>
              <w:rPr>
                <w:rFonts w:ascii="Times New Roman" w:hAnsi="Times New Roman"/>
                <w:bCs/>
                <w:sz w:val="12"/>
                <w:szCs w:val="12"/>
              </w:rPr>
              <w:t>1 000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snapToGrid w:val="0"/>
              <w:rPr>
                <w:rFonts w:ascii="Times New Roman" w:hAnsi="Times New Roman"/>
                <w:sz w:val="12"/>
                <w:szCs w:val="12"/>
              </w:rPr>
            </w:pPr>
            <w:r>
              <w:rPr>
                <w:rFonts w:ascii="Times New Roman" w:hAnsi="Times New Roman"/>
                <w:sz w:val="12"/>
                <w:szCs w:val="12"/>
              </w:rPr>
              <w:t>Norketamin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snapToGrid w:val="0"/>
              <w:jc w:val="left"/>
              <w:rPr>
                <w:rFonts w:ascii="Times New Roman" w:hAnsi="Times New Roman"/>
                <w:bCs/>
                <w:sz w:val="12"/>
                <w:szCs w:val="12"/>
              </w:rPr>
            </w:pPr>
            <w:r>
              <w:rPr>
                <w:rFonts w:ascii="Times New Roman" w:hAnsi="Times New Roman"/>
                <w:bCs/>
                <w:sz w:val="12"/>
                <w:szCs w:val="12"/>
              </w:rPr>
              <w:t>3 000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snapToGrid w:val="0"/>
              <w:rPr>
                <w:rFonts w:ascii="Times New Roman" w:hAnsi="Times New Roman"/>
                <w:sz w:val="12"/>
                <w:szCs w:val="12"/>
              </w:rPr>
            </w:pPr>
            <w:r>
              <w:rPr>
                <w:rFonts w:ascii="Times New Roman" w:hAnsi="Times New Roman"/>
                <w:sz w:val="12"/>
                <w:szCs w:val="12"/>
              </w:rPr>
              <w:t>Methoxyamfetamin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snapToGrid w:val="0"/>
              <w:jc w:val="left"/>
              <w:rPr>
                <w:rFonts w:ascii="Times New Roman" w:hAnsi="Times New Roman"/>
                <w:sz w:val="12"/>
                <w:szCs w:val="12"/>
              </w:rPr>
            </w:pPr>
            <w:r>
              <w:rPr>
                <w:rFonts w:ascii="Times New Roman" w:hAnsi="Times New Roman"/>
                <w:sz w:val="12"/>
                <w:szCs w:val="12"/>
              </w:rPr>
              <w:t>12 500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snapToGrid w:val="0"/>
              <w:rPr>
                <w:rFonts w:ascii="Times New Roman" w:hAnsi="Times New Roman"/>
                <w:sz w:val="12"/>
                <w:szCs w:val="12"/>
              </w:rPr>
            </w:pPr>
            <w:r>
              <w:rPr>
                <w:rFonts w:ascii="Times New Roman" w:hAnsi="Times New Roman"/>
                <w:sz w:val="12"/>
                <w:szCs w:val="12"/>
              </w:rPr>
              <w:t>Prometazin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snapToGrid w:val="0"/>
              <w:jc w:val="left"/>
              <w:rPr>
                <w:rFonts w:ascii="Times New Roman" w:hAnsi="Times New Roman"/>
                <w:sz w:val="12"/>
                <w:szCs w:val="12"/>
              </w:rPr>
            </w:pPr>
            <w:r>
              <w:rPr>
                <w:rFonts w:ascii="Times New Roman" w:hAnsi="Times New Roman"/>
                <w:sz w:val="12"/>
                <w:szCs w:val="12"/>
              </w:rPr>
              <w:t>25 000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snapToGrid w:val="0"/>
              <w:rPr>
                <w:rFonts w:ascii="Times New Roman" w:hAnsi="Times New Roman"/>
                <w:sz w:val="12"/>
                <w:szCs w:val="12"/>
              </w:rPr>
            </w:pPr>
            <w:r>
              <w:rPr>
                <w:rFonts w:ascii="Times New Roman" w:hAnsi="Times New Roman"/>
                <w:sz w:val="12"/>
                <w:szCs w:val="12"/>
              </w:rPr>
              <w:t>4-hydroxyfenylcyklohexylpiperidin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snapToGrid w:val="0"/>
              <w:jc w:val="left"/>
              <w:rPr>
                <w:rFonts w:ascii="Times New Roman" w:hAnsi="Times New Roman"/>
                <w:sz w:val="12"/>
                <w:szCs w:val="12"/>
              </w:rPr>
            </w:pPr>
            <w:r>
              <w:rPr>
                <w:rFonts w:ascii="Times New Roman" w:hAnsi="Times New Roman"/>
                <w:sz w:val="12"/>
                <w:szCs w:val="12"/>
              </w:rPr>
              <w:t>50 000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snapToGrid w:val="0"/>
              <w:rPr>
                <w:rFonts w:ascii="Times New Roman" w:hAnsi="Times New Roman"/>
                <w:sz w:val="12"/>
                <w:szCs w:val="12"/>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snapToGrid w:val="0"/>
              <w:jc w:val="left"/>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snapToGrid w:val="0"/>
              <w:rPr>
                <w:rFonts w:ascii="Times New Roman" w:hAnsi="Times New Roman"/>
                <w:sz w:val="12"/>
                <w:szCs w:val="12"/>
              </w:rPr>
            </w:pPr>
            <w:r>
              <w:rPr>
                <w:rFonts w:ascii="Times New Roman" w:hAnsi="Times New Roman"/>
                <w:b/>
                <w:sz w:val="12"/>
                <w:szCs w:val="12"/>
              </w:rPr>
              <w:t>KETAMIN (KET 100)</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snapToGrid w:val="0"/>
              <w:jc w:val="left"/>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snapToGrid w:val="0"/>
              <w:rPr>
                <w:rFonts w:ascii="Times New Roman" w:hAnsi="Times New Roman"/>
                <w:sz w:val="12"/>
                <w:szCs w:val="12"/>
              </w:rPr>
            </w:pPr>
            <w:r>
              <w:rPr>
                <w:rFonts w:ascii="Times New Roman" w:hAnsi="Times New Roman"/>
                <w:sz w:val="12"/>
                <w:szCs w:val="12"/>
              </w:rPr>
              <w:t>Ketamin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snapToGrid w:val="0"/>
              <w:jc w:val="left"/>
              <w:rPr>
                <w:rFonts w:ascii="Times New Roman" w:hAnsi="Times New Roman"/>
                <w:bCs/>
                <w:sz w:val="12"/>
                <w:szCs w:val="12"/>
              </w:rPr>
            </w:pPr>
            <w:r>
              <w:rPr>
                <w:rFonts w:ascii="Times New Roman" w:hAnsi="Times New Roman"/>
                <w:bCs/>
                <w:sz w:val="12"/>
                <w:szCs w:val="12"/>
              </w:rPr>
              <w:t>100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snapToGrid w:val="0"/>
              <w:rPr>
                <w:rFonts w:ascii="Times New Roman" w:hAnsi="Times New Roman"/>
                <w:sz w:val="12"/>
                <w:szCs w:val="12"/>
              </w:rPr>
            </w:pPr>
            <w:r>
              <w:rPr>
                <w:rFonts w:ascii="Times New Roman" w:hAnsi="Times New Roman"/>
                <w:sz w:val="12"/>
                <w:szCs w:val="12"/>
              </w:rPr>
              <w:t>Norketamin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snapToGrid w:val="0"/>
              <w:jc w:val="left"/>
              <w:rPr>
                <w:rFonts w:ascii="Times New Roman" w:hAnsi="Times New Roman"/>
                <w:bCs/>
                <w:sz w:val="12"/>
                <w:szCs w:val="12"/>
              </w:rPr>
            </w:pPr>
            <w:r>
              <w:rPr>
                <w:rFonts w:ascii="Times New Roman" w:hAnsi="Times New Roman"/>
                <w:bCs/>
                <w:sz w:val="12"/>
                <w:szCs w:val="12"/>
              </w:rPr>
              <w:t>100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Methoxyamfetamin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snapToGrid w:val="0"/>
              <w:jc w:val="left"/>
              <w:rPr>
                <w:rFonts w:ascii="Times New Roman" w:hAnsi="Times New Roman"/>
                <w:sz w:val="12"/>
                <w:szCs w:val="12"/>
              </w:rPr>
            </w:pPr>
            <w:r>
              <w:rPr>
                <w:rFonts w:ascii="Times New Roman" w:hAnsi="Times New Roman"/>
                <w:sz w:val="12"/>
                <w:szCs w:val="12"/>
              </w:rPr>
              <w:t>1 250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Prometazin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snapToGrid w:val="0"/>
              <w:jc w:val="left"/>
              <w:rPr>
                <w:rFonts w:ascii="Times New Roman" w:hAnsi="Times New Roman"/>
                <w:sz w:val="12"/>
                <w:szCs w:val="12"/>
              </w:rPr>
            </w:pPr>
            <w:r>
              <w:rPr>
                <w:rFonts w:ascii="Times New Roman" w:hAnsi="Times New Roman"/>
                <w:sz w:val="12"/>
                <w:szCs w:val="12"/>
              </w:rPr>
              <w:t>2 500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4-hydroxyfenylcyklohexylpiperidin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snapToGrid w:val="0"/>
              <w:jc w:val="left"/>
              <w:rPr>
                <w:rFonts w:ascii="Times New Roman" w:hAnsi="Times New Roman"/>
                <w:sz w:val="12"/>
                <w:szCs w:val="12"/>
              </w:rPr>
            </w:pPr>
            <w:r>
              <w:rPr>
                <w:rFonts w:ascii="Times New Roman" w:hAnsi="Times New Roman"/>
                <w:sz w:val="12"/>
                <w:szCs w:val="12"/>
              </w:rPr>
              <w:t>5 000</w:t>
            </w:r>
          </w:p>
        </w:tc>
      </w:tr>
      <w:tr w:rsidR="00872005">
        <w:trPr>
          <w:trHeight w:val="164"/>
          <w:tblHeader/>
        </w:trPr>
        <w:tc>
          <w:tcPr>
            <w:tcW w:w="3273" w:type="dxa"/>
            <w:vAlign w:val="center"/>
          </w:tcPr>
          <w:p w:rsidR="00EE7251" w:rsidRDefault="00EE7251">
            <w:pPr>
              <w:tabs>
                <w:tab w:val="left" w:pos="5220"/>
              </w:tabs>
              <w:rPr>
                <w:rFonts w:ascii="Times New Roman" w:hAnsi="Times New Roman"/>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vAlign w:val="center"/>
          </w:tcPr>
          <w:p w:rsidR="00EE7251" w:rsidRDefault="007270C2">
            <w:pPr>
              <w:tabs>
                <w:tab w:val="left" w:pos="5220"/>
              </w:tabs>
              <w:rPr>
                <w:rFonts w:ascii="Times New Roman" w:hAnsi="Times New Roman"/>
                <w:b/>
                <w:sz w:val="12"/>
                <w:szCs w:val="12"/>
              </w:rPr>
            </w:pPr>
            <w:r>
              <w:rPr>
                <w:rFonts w:ascii="Times New Roman" w:hAnsi="Times New Roman"/>
                <w:b/>
                <w:sz w:val="12"/>
                <w:szCs w:val="12"/>
              </w:rPr>
              <w:t>KRATOM (KRA)</w:t>
            </w:r>
          </w:p>
        </w:tc>
        <w:tc>
          <w:tcPr>
            <w:tcW w:w="1507" w:type="dxa"/>
            <w:vAlign w:val="center"/>
          </w:tcPr>
          <w:p w:rsidR="00EE7251" w:rsidRDefault="00EE7251">
            <w:pPr>
              <w:tabs>
                <w:tab w:val="left" w:pos="5220"/>
              </w:tabs>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lang w:eastAsia="en-US"/>
              </w:rPr>
              <w:t>Mitragynin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250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lang w:eastAsia="en-US"/>
              </w:rPr>
              <w:t>Metabolit mitragyninu</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250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7-Hydroxymitragynin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600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Bilirubin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100 000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11-Hydroxy-Δ</w:t>
            </w:r>
            <w:r>
              <w:rPr>
                <w:rFonts w:ascii="Times New Roman" w:hAnsi="Times New Roman"/>
                <w:sz w:val="12"/>
                <w:szCs w:val="12"/>
                <w:vertAlign w:val="superscript"/>
              </w:rPr>
              <w:t>9</w:t>
            </w:r>
            <w:r>
              <w:rPr>
                <w:rFonts w:ascii="Times New Roman" w:hAnsi="Times New Roman"/>
                <w:sz w:val="12"/>
                <w:szCs w:val="12"/>
              </w:rPr>
              <w:t xml:space="preserve"> -tetrahydrokanabinol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80 000</w:t>
            </w:r>
          </w:p>
        </w:tc>
      </w:tr>
      <w:tr w:rsidR="00872005">
        <w:trPr>
          <w:trHeight w:val="164"/>
          <w:tblHeader/>
        </w:trPr>
        <w:tc>
          <w:tcPr>
            <w:tcW w:w="3273" w:type="dxa"/>
            <w:vAlign w:val="center"/>
          </w:tcPr>
          <w:p w:rsidR="00EE7251" w:rsidRDefault="00EE7251">
            <w:pPr>
              <w:tabs>
                <w:tab w:val="left" w:pos="5220"/>
              </w:tabs>
              <w:rPr>
                <w:rFonts w:ascii="Times New Roman" w:hAnsi="Times New Roman"/>
                <w:sz w:val="12"/>
                <w:szCs w:val="12"/>
              </w:rPr>
            </w:pPr>
          </w:p>
        </w:tc>
        <w:tc>
          <w:tcPr>
            <w:tcW w:w="1507" w:type="dxa"/>
            <w:vAlign w:val="center"/>
          </w:tcPr>
          <w:p w:rsidR="00EE7251" w:rsidRDefault="00EE7251">
            <w:pPr>
              <w:tabs>
                <w:tab w:val="left" w:pos="5220"/>
              </w:tabs>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b/>
                <w:sz w:val="12"/>
                <w:szCs w:val="12"/>
              </w:rPr>
            </w:pPr>
            <w:r>
              <w:rPr>
                <w:rFonts w:ascii="Times New Roman" w:hAnsi="Times New Roman"/>
                <w:b/>
                <w:sz w:val="12"/>
                <w:szCs w:val="12"/>
              </w:rPr>
              <w:t>DIETHYLAMID KYSELINY LYSERGOVÉ (LSD)</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tabs>
                <w:tab w:val="left" w:pos="5220"/>
              </w:tabs>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D-lysergová kyselina diethylamid</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20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Fentanyl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75</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Norfentanyl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300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autoSpaceDE w:val="0"/>
              <w:autoSpaceDN w:val="0"/>
              <w:adjustRightInd w:val="0"/>
              <w:rPr>
                <w:rFonts w:ascii="Times New Roman" w:hAnsi="Times New Roman"/>
                <w:sz w:val="12"/>
                <w:szCs w:val="12"/>
                <w:highlight w:val="yellow"/>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autoSpaceDE w:val="0"/>
              <w:autoSpaceDN w:val="0"/>
              <w:adjustRightInd w:val="0"/>
              <w:rPr>
                <w:rFonts w:ascii="Times New Roman" w:hAnsi="Times New Roman"/>
                <w:sz w:val="12"/>
                <w:szCs w:val="12"/>
                <w:highlight w:val="yellow"/>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b/>
                <w:sz w:val="12"/>
                <w:szCs w:val="12"/>
              </w:rPr>
            </w:pPr>
            <w:r>
              <w:rPr>
                <w:rFonts w:ascii="Times New Roman" w:hAnsi="Times New Roman"/>
                <w:b/>
                <w:sz w:val="12"/>
                <w:szCs w:val="12"/>
              </w:rPr>
              <w:t>MARIHUANA (THC)</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tabs>
                <w:tab w:val="left" w:pos="5220"/>
              </w:tabs>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Delta-9-tetrahydrokanabinol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50 000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11-nor-delta-9-THC-karboxyglukuronid</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75</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(-)-11-nor-9-karboxy-delta-9-THC</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75</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11-nor-Δ</w:t>
            </w:r>
            <w:r>
              <w:rPr>
                <w:rFonts w:ascii="Times New Roman" w:hAnsi="Times New Roman"/>
                <w:sz w:val="12"/>
                <w:szCs w:val="12"/>
                <w:vertAlign w:val="superscript"/>
              </w:rPr>
              <w:t>9</w:t>
            </w:r>
            <w:r>
              <w:rPr>
                <w:rFonts w:ascii="Times New Roman" w:hAnsi="Times New Roman"/>
                <w:sz w:val="12"/>
                <w:szCs w:val="12"/>
              </w:rPr>
              <w:t xml:space="preserve"> -tetrahydrokanabinol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50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11-Hydroxy-Δ</w:t>
            </w:r>
            <w:r>
              <w:rPr>
                <w:rFonts w:ascii="Times New Roman" w:hAnsi="Times New Roman"/>
                <w:sz w:val="12"/>
                <w:szCs w:val="12"/>
                <w:vertAlign w:val="superscript"/>
              </w:rPr>
              <w:t>9</w:t>
            </w:r>
            <w:r>
              <w:rPr>
                <w:rFonts w:ascii="Times New Roman" w:hAnsi="Times New Roman"/>
                <w:sz w:val="12"/>
                <w:szCs w:val="12"/>
              </w:rPr>
              <w:t xml:space="preserve"> -tetrahydrokanabinol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5 000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11-Nor-Δ</w:t>
            </w:r>
            <w:r>
              <w:rPr>
                <w:rFonts w:ascii="Times New Roman" w:hAnsi="Times New Roman"/>
                <w:sz w:val="12"/>
                <w:szCs w:val="12"/>
                <w:vertAlign w:val="superscript"/>
              </w:rPr>
              <w:t>8</w:t>
            </w:r>
            <w:r>
              <w:rPr>
                <w:rFonts w:ascii="Times New Roman" w:hAnsi="Times New Roman"/>
                <w:sz w:val="12"/>
                <w:szCs w:val="12"/>
              </w:rPr>
              <w:t xml:space="preserve"> -tetrahydrokanabinol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50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Δ</w:t>
            </w:r>
            <w:r>
              <w:rPr>
                <w:rFonts w:ascii="Times New Roman" w:hAnsi="Times New Roman"/>
                <w:sz w:val="12"/>
                <w:szCs w:val="12"/>
                <w:vertAlign w:val="superscript"/>
              </w:rPr>
              <w:t>8</w:t>
            </w:r>
            <w:r>
              <w:rPr>
                <w:rFonts w:ascii="Times New Roman" w:hAnsi="Times New Roman"/>
                <w:sz w:val="12"/>
                <w:szCs w:val="12"/>
              </w:rPr>
              <w:t xml:space="preserve"> -THC-COOH</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sz w:val="12"/>
                <w:szCs w:val="12"/>
              </w:rPr>
            </w:pPr>
            <w:r>
              <w:rPr>
                <w:rFonts w:ascii="Times New Roman" w:hAnsi="Times New Roman"/>
                <w:sz w:val="12"/>
                <w:szCs w:val="12"/>
              </w:rPr>
              <w:t>50 000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tabs>
                <w:tab w:val="left" w:pos="5220"/>
              </w:tabs>
              <w:rPr>
                <w:rFonts w:ascii="Times New Roman" w:hAnsi="Times New Roman"/>
                <w:sz w:val="12"/>
                <w:szCs w:val="12"/>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tabs>
                <w:tab w:val="left" w:pos="5220"/>
              </w:tabs>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jc w:val="left"/>
              <w:rPr>
                <w:rFonts w:ascii="Times New Roman" w:hAnsi="Times New Roman"/>
                <w:b/>
                <w:sz w:val="12"/>
                <w:szCs w:val="12"/>
              </w:rPr>
            </w:pPr>
            <w:r>
              <w:rPr>
                <w:rFonts w:ascii="Times New Roman" w:hAnsi="Times New Roman"/>
                <w:b/>
                <w:sz w:val="12"/>
                <w:szCs w:val="12"/>
              </w:rPr>
              <w:t>MARIHUANA (THC 25)</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tabs>
                <w:tab w:val="left" w:pos="5220"/>
              </w:tabs>
              <w:jc w:val="left"/>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Delta-9-tetrahydrokanabinol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25 000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11-nor-delta-9-THC-karboxyglukuronid</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37,5</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(-)-11-nor-9-karboxy-delta-9-THC</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sz w:val="12"/>
                <w:szCs w:val="12"/>
              </w:rPr>
            </w:pPr>
            <w:r>
              <w:rPr>
                <w:rFonts w:ascii="Times New Roman" w:hAnsi="Times New Roman"/>
                <w:sz w:val="12"/>
                <w:szCs w:val="12"/>
              </w:rPr>
              <w:t>37,5</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11-nor-Δ</w:t>
            </w:r>
            <w:r>
              <w:rPr>
                <w:rFonts w:ascii="Times New Roman" w:hAnsi="Times New Roman"/>
                <w:sz w:val="12"/>
                <w:szCs w:val="12"/>
                <w:vertAlign w:val="superscript"/>
              </w:rPr>
              <w:t>9</w:t>
            </w:r>
            <w:r>
              <w:rPr>
                <w:rFonts w:ascii="Times New Roman" w:hAnsi="Times New Roman"/>
                <w:sz w:val="12"/>
                <w:szCs w:val="12"/>
              </w:rPr>
              <w:t xml:space="preserve"> -tetrahydrokanabinol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25</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11-Hydroxy-Δ</w:t>
            </w:r>
            <w:r>
              <w:rPr>
                <w:rFonts w:ascii="Times New Roman" w:hAnsi="Times New Roman"/>
                <w:sz w:val="12"/>
                <w:szCs w:val="12"/>
                <w:vertAlign w:val="superscript"/>
              </w:rPr>
              <w:t>9</w:t>
            </w:r>
            <w:r>
              <w:rPr>
                <w:rFonts w:ascii="Times New Roman" w:hAnsi="Times New Roman"/>
                <w:sz w:val="12"/>
                <w:szCs w:val="12"/>
              </w:rPr>
              <w:t xml:space="preserve"> -tetrahydrokanabinol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2 500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11-Nor-Δ</w:t>
            </w:r>
            <w:r>
              <w:rPr>
                <w:rFonts w:ascii="Times New Roman" w:hAnsi="Times New Roman"/>
                <w:sz w:val="12"/>
                <w:szCs w:val="12"/>
                <w:vertAlign w:val="superscript"/>
              </w:rPr>
              <w:t>8</w:t>
            </w:r>
            <w:r>
              <w:rPr>
                <w:rFonts w:ascii="Times New Roman" w:hAnsi="Times New Roman"/>
                <w:sz w:val="12"/>
                <w:szCs w:val="12"/>
              </w:rPr>
              <w:t xml:space="preserve"> -tetrahydrokanabinol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25</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Δ</w:t>
            </w:r>
            <w:r>
              <w:rPr>
                <w:rFonts w:ascii="Times New Roman" w:hAnsi="Times New Roman"/>
                <w:sz w:val="12"/>
                <w:szCs w:val="12"/>
                <w:vertAlign w:val="superscript"/>
              </w:rPr>
              <w:t>8</w:t>
            </w:r>
            <w:r>
              <w:rPr>
                <w:rFonts w:ascii="Times New Roman" w:hAnsi="Times New Roman"/>
                <w:sz w:val="12"/>
                <w:szCs w:val="12"/>
              </w:rPr>
              <w:t xml:space="preserve"> -THC-COOH</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25 000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tabs>
                <w:tab w:val="left" w:pos="5220"/>
              </w:tabs>
              <w:rPr>
                <w:rFonts w:ascii="Times New Roman" w:hAnsi="Times New Roman"/>
                <w:sz w:val="12"/>
                <w:szCs w:val="12"/>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tabs>
                <w:tab w:val="left" w:pos="5220"/>
              </w:tabs>
              <w:rPr>
                <w:rFonts w:ascii="Times New Roman" w:hAnsi="Times New Roman"/>
                <w:sz w:val="12"/>
                <w:szCs w:val="12"/>
              </w:rPr>
            </w:pPr>
          </w:p>
        </w:tc>
      </w:tr>
      <w:tr w:rsidR="00872005">
        <w:trPr>
          <w:trHeight w:val="164"/>
          <w:tblHeader/>
        </w:trPr>
        <w:tc>
          <w:tcPr>
            <w:tcW w:w="3273" w:type="dxa"/>
            <w:vAlign w:val="center"/>
          </w:tcPr>
          <w:p w:rsidR="00EE7251" w:rsidRDefault="007270C2">
            <w:pPr>
              <w:rPr>
                <w:rFonts w:ascii="Times New Roman" w:hAnsi="Times New Roman"/>
                <w:b/>
                <w:sz w:val="12"/>
                <w:szCs w:val="12"/>
              </w:rPr>
            </w:pPr>
            <w:r>
              <w:rPr>
                <w:rFonts w:ascii="Times New Roman" w:hAnsi="Times New Roman"/>
                <w:b/>
                <w:sz w:val="12"/>
                <w:szCs w:val="12"/>
              </w:rPr>
              <w:t>METABOLITY METADONU (EDDP)</w:t>
            </w:r>
          </w:p>
        </w:tc>
        <w:tc>
          <w:tcPr>
            <w:tcW w:w="1507" w:type="dxa"/>
            <w:vAlign w:val="center"/>
          </w:tcPr>
          <w:p w:rsidR="00EE7251" w:rsidRDefault="00EE7251">
            <w:pPr>
              <w:rPr>
                <w:rFonts w:ascii="Times New Roman" w:hAnsi="Times New Roman"/>
                <w:sz w:val="12"/>
                <w:szCs w:val="12"/>
              </w:rPr>
            </w:pPr>
          </w:p>
        </w:tc>
      </w:tr>
      <w:tr w:rsidR="00872005">
        <w:trPr>
          <w:trHeight w:val="164"/>
          <w:tblHeader/>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EDDP</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300</w:t>
            </w:r>
          </w:p>
        </w:tc>
      </w:tr>
      <w:tr w:rsidR="00872005">
        <w:trPr>
          <w:trHeight w:val="164"/>
          <w:tblHeader/>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Disopyramid</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50 000</w:t>
            </w:r>
          </w:p>
        </w:tc>
      </w:tr>
      <w:tr w:rsidR="00872005">
        <w:trPr>
          <w:trHeight w:val="164"/>
          <w:tblHeader/>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lastRenderedPageBreak/>
              <w:t>Metadon</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blHeader/>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EMDP</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500</w:t>
            </w:r>
          </w:p>
        </w:tc>
      </w:tr>
      <w:tr w:rsidR="00872005">
        <w:trPr>
          <w:trHeight w:val="164"/>
          <w:tblHeader/>
        </w:trPr>
        <w:tc>
          <w:tcPr>
            <w:tcW w:w="3273" w:type="dxa"/>
            <w:vAlign w:val="center"/>
          </w:tcPr>
          <w:p w:rsidR="00EE7251" w:rsidRDefault="00EE7251">
            <w:pPr>
              <w:rPr>
                <w:rFonts w:ascii="Times New Roman" w:hAnsi="Times New Roman"/>
                <w:sz w:val="12"/>
                <w:szCs w:val="12"/>
              </w:rPr>
            </w:pPr>
          </w:p>
        </w:tc>
        <w:tc>
          <w:tcPr>
            <w:tcW w:w="1507" w:type="dxa"/>
            <w:vAlign w:val="center"/>
          </w:tcPr>
          <w:p w:rsidR="00EE7251" w:rsidRDefault="00EE7251">
            <w:pPr>
              <w:rPr>
                <w:rFonts w:ascii="Times New Roman" w:hAnsi="Times New Roman"/>
                <w:sz w:val="12"/>
                <w:szCs w:val="12"/>
              </w:rPr>
            </w:pPr>
          </w:p>
        </w:tc>
      </w:tr>
      <w:tr w:rsidR="00872005">
        <w:trPr>
          <w:trHeight w:val="164"/>
          <w:tblHeader/>
        </w:trPr>
        <w:tc>
          <w:tcPr>
            <w:tcW w:w="3273" w:type="dxa"/>
            <w:vAlign w:val="center"/>
          </w:tcPr>
          <w:p w:rsidR="00EE7251" w:rsidRDefault="007270C2">
            <w:pPr>
              <w:rPr>
                <w:rFonts w:ascii="Times New Roman" w:hAnsi="Times New Roman"/>
                <w:b/>
                <w:sz w:val="12"/>
                <w:szCs w:val="12"/>
              </w:rPr>
            </w:pPr>
            <w:r>
              <w:rPr>
                <w:rFonts w:ascii="Times New Roman" w:hAnsi="Times New Roman"/>
                <w:b/>
                <w:sz w:val="12"/>
                <w:szCs w:val="12"/>
              </w:rPr>
              <w:t>METABOLITY METADONU (EDDP 100)</w:t>
            </w:r>
          </w:p>
        </w:tc>
        <w:tc>
          <w:tcPr>
            <w:tcW w:w="1507" w:type="dxa"/>
            <w:vAlign w:val="center"/>
          </w:tcPr>
          <w:p w:rsidR="00EE7251" w:rsidRDefault="00EE7251">
            <w:pPr>
              <w:rPr>
                <w:rFonts w:ascii="Times New Roman" w:hAnsi="Times New Roman"/>
                <w:sz w:val="12"/>
                <w:szCs w:val="12"/>
              </w:rPr>
            </w:pPr>
          </w:p>
        </w:tc>
      </w:tr>
      <w:tr w:rsidR="00872005">
        <w:trPr>
          <w:trHeight w:val="164"/>
          <w:tblHeader/>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EDDP</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100</w:t>
            </w:r>
          </w:p>
        </w:tc>
      </w:tr>
      <w:tr w:rsidR="00872005">
        <w:trPr>
          <w:trHeight w:val="164"/>
          <w:tblHeader/>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Disopyramid</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20 000</w:t>
            </w:r>
          </w:p>
        </w:tc>
      </w:tr>
      <w:tr w:rsidR="00872005">
        <w:trPr>
          <w:trHeight w:val="164"/>
          <w:tblHeader/>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Metadon</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blHeader/>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EMDP</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200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b/>
                <w:sz w:val="12"/>
                <w:szCs w:val="12"/>
              </w:rPr>
              <w:t>METADON (MTD)</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Metadon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300</w:t>
            </w:r>
          </w:p>
        </w:tc>
      </w:tr>
      <w:tr w:rsidR="00872005">
        <w:trPr>
          <w:trHeight w:val="164"/>
          <w:tblHeader/>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Doxylamin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5 000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vAlign w:val="center"/>
          </w:tcPr>
          <w:p w:rsidR="00EE7251" w:rsidRDefault="007270C2">
            <w:pPr>
              <w:autoSpaceDE w:val="0"/>
              <w:autoSpaceDN w:val="0"/>
              <w:adjustRightInd w:val="0"/>
              <w:rPr>
                <w:rFonts w:ascii="Times New Roman" w:hAnsi="Times New Roman"/>
                <w:b/>
                <w:sz w:val="12"/>
                <w:szCs w:val="12"/>
              </w:rPr>
            </w:pPr>
            <w:r>
              <w:rPr>
                <w:rFonts w:ascii="Times New Roman" w:hAnsi="Times New Roman"/>
                <w:b/>
                <w:sz w:val="12"/>
                <w:szCs w:val="12"/>
              </w:rPr>
              <w:t>METADON (MTD 200)</w:t>
            </w: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blHeader/>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(±)-metadon</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200</w:t>
            </w:r>
          </w:p>
        </w:tc>
      </w:tr>
      <w:tr w:rsidR="00872005">
        <w:trPr>
          <w:trHeight w:val="164"/>
          <w:tblHeader/>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Doxylamin</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&gt;65 000</w:t>
            </w:r>
          </w:p>
        </w:tc>
      </w:tr>
      <w:tr w:rsidR="00872005">
        <w:trPr>
          <w:trHeight w:val="164"/>
          <w:tblHeader/>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EDDP perchlorát</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&gt;65 000</w:t>
            </w:r>
          </w:p>
        </w:tc>
      </w:tr>
      <w:tr w:rsidR="00872005">
        <w:trPr>
          <w:trHeight w:val="164"/>
          <w:tblHeader/>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EMDP</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&gt;65 000</w:t>
            </w:r>
          </w:p>
        </w:tc>
      </w:tr>
      <w:tr w:rsidR="00872005">
        <w:trPr>
          <w:trHeight w:val="164"/>
          <w:tblHeader/>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LAAM HCl</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&gt;65 000</w:t>
            </w:r>
          </w:p>
        </w:tc>
      </w:tr>
      <w:tr w:rsidR="00872005">
        <w:trPr>
          <w:trHeight w:val="164"/>
          <w:tblHeader/>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Alfa-metadol</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&gt;65 000</w:t>
            </w:r>
          </w:p>
        </w:tc>
      </w:tr>
      <w:tr w:rsidR="00872005">
        <w:trPr>
          <w:trHeight w:val="164"/>
          <w:tblHeader/>
        </w:trPr>
        <w:tc>
          <w:tcPr>
            <w:tcW w:w="3273" w:type="dxa"/>
            <w:vAlign w:val="center"/>
          </w:tcPr>
          <w:p w:rsidR="00EE7251" w:rsidRDefault="00EE7251">
            <w:pPr>
              <w:autoSpaceDE w:val="0"/>
              <w:autoSpaceDN w:val="0"/>
              <w:adjustRightInd w:val="0"/>
              <w:rPr>
                <w:rFonts w:ascii="Times New Roman" w:hAnsi="Times New Roman"/>
                <w:b/>
                <w:sz w:val="12"/>
                <w:szCs w:val="12"/>
              </w:rPr>
            </w:pPr>
          </w:p>
        </w:tc>
        <w:tc>
          <w:tcPr>
            <w:tcW w:w="1507" w:type="dxa"/>
            <w:vAlign w:val="center"/>
          </w:tcPr>
          <w:p w:rsidR="00EE7251" w:rsidRDefault="00EE7251">
            <w:pPr>
              <w:autoSpaceDE w:val="0"/>
              <w:autoSpaceDN w:val="0"/>
              <w:adjustRightInd w:val="0"/>
              <w:rPr>
                <w:rFonts w:ascii="Times New Roman" w:hAnsi="Times New Roman"/>
                <w:b/>
                <w:sz w:val="12"/>
                <w:szCs w:val="12"/>
              </w:rPr>
            </w:pPr>
          </w:p>
        </w:tc>
      </w:tr>
      <w:tr w:rsidR="00872005">
        <w:trPr>
          <w:trHeight w:val="164"/>
        </w:trPr>
        <w:tc>
          <w:tcPr>
            <w:tcW w:w="3273" w:type="dxa"/>
            <w:vAlign w:val="center"/>
          </w:tcPr>
          <w:p w:rsidR="00EE7251" w:rsidRDefault="007270C2">
            <w:pPr>
              <w:autoSpaceDE w:val="0"/>
              <w:autoSpaceDN w:val="0"/>
              <w:adjustRightInd w:val="0"/>
              <w:rPr>
                <w:rFonts w:ascii="Times New Roman" w:hAnsi="Times New Roman"/>
                <w:b/>
                <w:sz w:val="12"/>
                <w:szCs w:val="12"/>
              </w:rPr>
            </w:pPr>
            <w:r>
              <w:rPr>
                <w:rFonts w:ascii="Times New Roman" w:hAnsi="Times New Roman"/>
                <w:b/>
                <w:sz w:val="12"/>
                <w:szCs w:val="12"/>
              </w:rPr>
              <w:t>METAMFETAMIN (mAMP)</w:t>
            </w:r>
          </w:p>
        </w:tc>
        <w:tc>
          <w:tcPr>
            <w:tcW w:w="1507" w:type="dxa"/>
            <w:vAlign w:val="center"/>
          </w:tcPr>
          <w:p w:rsidR="00EE7251" w:rsidRDefault="00EE7251">
            <w:pPr>
              <w:autoSpaceDE w:val="0"/>
              <w:autoSpaceDN w:val="0"/>
              <w:adjustRightInd w:val="0"/>
              <w:rPr>
                <w:rFonts w:ascii="Times New Roman" w:hAnsi="Times New Roman"/>
                <w:sz w:val="12"/>
                <w:szCs w:val="12"/>
              </w:rPr>
            </w:pP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D-metamfetamin</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1 000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 3,4-methylendioxy-n-ethylamfetamin (MDEA)</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20 000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Prokain (Novokain)</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60 000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Trimethobenzamid</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20 000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Metamfetamin</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1 000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Ranitidin (Zantac)</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50 000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 3,4-methylendioxymetamfetamin (MDMA)</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2 500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Chlorochin</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50 000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Efedrin</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100 000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Fenfluramin</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50 000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p-Hydroxymetamfetamin</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10 000</w:t>
            </w:r>
          </w:p>
        </w:tc>
      </w:tr>
      <w:tr w:rsidR="00872005">
        <w:trPr>
          <w:trHeight w:val="164"/>
        </w:trPr>
        <w:tc>
          <w:tcPr>
            <w:tcW w:w="3273" w:type="dxa"/>
            <w:vAlign w:val="center"/>
          </w:tcPr>
          <w:p w:rsidR="00EE7251" w:rsidRDefault="00EE7251">
            <w:pPr>
              <w:tabs>
                <w:tab w:val="left" w:pos="5220"/>
              </w:tabs>
              <w:rPr>
                <w:rFonts w:ascii="Times New Roman" w:hAnsi="Times New Roman"/>
                <w:sz w:val="12"/>
                <w:szCs w:val="12"/>
              </w:rPr>
            </w:pPr>
          </w:p>
        </w:tc>
        <w:tc>
          <w:tcPr>
            <w:tcW w:w="1507" w:type="dxa"/>
            <w:vAlign w:val="center"/>
          </w:tcPr>
          <w:p w:rsidR="00EE7251" w:rsidRDefault="00EE7251">
            <w:pPr>
              <w:tabs>
                <w:tab w:val="left" w:pos="5220"/>
              </w:tabs>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kern w:val="0"/>
                <w:sz w:val="12"/>
                <w:szCs w:val="12"/>
              </w:rPr>
            </w:pPr>
            <w:r>
              <w:rPr>
                <w:rFonts w:ascii="Times New Roman" w:hAnsi="Times New Roman"/>
                <w:b/>
                <w:kern w:val="0"/>
                <w:sz w:val="12"/>
                <w:szCs w:val="12"/>
              </w:rPr>
              <w:t>METAMFETAMIN (MET 500)</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autoSpaceDE w:val="0"/>
              <w:autoSpaceDN w:val="0"/>
              <w:adjustRightInd w:val="0"/>
              <w:jc w:val="left"/>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p-hydroxymetamfetamin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15 000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l-metamfetamin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4 000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Mefentermin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25 000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d,l-amfetamin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75 000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(1R,2S)-(-)-Efedrin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50 000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β-fenylethylamin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75 000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d-metamfetamin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500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3,4-methylendioxymetamfetamin (MDMA)</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d-amfetamin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50 000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Chlorochin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12 500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 3,4-methylendioxy-n-ethylamfetamin (MDEA)</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Prokain (Novokain)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50 000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Trimetobenzamid</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Ranitidin (Zantac)</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50 000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Fenfluramin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50 000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autoSpaceDE w:val="0"/>
              <w:autoSpaceDN w:val="0"/>
              <w:adjustRightInd w:val="0"/>
              <w:jc w:val="left"/>
              <w:rPr>
                <w:rFonts w:ascii="Times New Roman" w:hAnsi="Times New Roman"/>
                <w:sz w:val="12"/>
                <w:szCs w:val="12"/>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autoSpaceDE w:val="0"/>
              <w:autoSpaceDN w:val="0"/>
              <w:adjustRightInd w:val="0"/>
              <w:jc w:val="left"/>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b/>
                <w:sz w:val="12"/>
                <w:szCs w:val="12"/>
              </w:rPr>
            </w:pPr>
            <w:r>
              <w:rPr>
                <w:rFonts w:ascii="Times New Roman" w:hAnsi="Times New Roman"/>
                <w:b/>
                <w:sz w:val="12"/>
                <w:szCs w:val="12"/>
              </w:rPr>
              <w:t>METAMFETAMIN (MET 300)</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jc w:val="left"/>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p-Hydroxymetamfetamin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l-metamfetamin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3 000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Mefentermin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15 000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d,l-amfetamin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50 000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(1R,2S)-(-)-Efedrin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50 000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β-fenylethylamin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50 000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d-metamfetamin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300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3,4-methylendioxymetamfetamin (MDMA)</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d-amfetamin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30 000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Chlorochin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7 500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 3,4-methylendioxy-n-ethylamfetamin (MDEA)</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12 000</w:t>
            </w:r>
          </w:p>
        </w:tc>
      </w:tr>
      <w:tr w:rsidR="00872005">
        <w:trPr>
          <w:trHeight w:val="90"/>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Prokain (Novokain)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30 000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Trimetobenzamid</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12 000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Ranitidin (Zantac)</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30 000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Fenfluramin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30 000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autoSpaceDE w:val="0"/>
              <w:autoSpaceDN w:val="0"/>
              <w:adjustRightInd w:val="0"/>
              <w:jc w:val="left"/>
              <w:rPr>
                <w:rFonts w:ascii="Times New Roman" w:hAnsi="Times New Roman"/>
                <w:sz w:val="12"/>
                <w:szCs w:val="12"/>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autoSpaceDE w:val="0"/>
              <w:autoSpaceDN w:val="0"/>
              <w:adjustRightInd w:val="0"/>
              <w:jc w:val="left"/>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snapToGrid w:val="0"/>
              <w:rPr>
                <w:rFonts w:ascii="Times New Roman" w:hAnsi="Times New Roman"/>
                <w:b/>
                <w:sz w:val="12"/>
                <w:szCs w:val="12"/>
              </w:rPr>
            </w:pPr>
            <w:r>
              <w:rPr>
                <w:rFonts w:ascii="Times New Roman" w:hAnsi="Times New Roman"/>
                <w:b/>
                <w:sz w:val="12"/>
                <w:szCs w:val="12"/>
              </w:rPr>
              <w:t>METHAQUALON (MQL)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snapToGrid w:val="0"/>
              <w:jc w:val="left"/>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Metakvalon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300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jc w:val="left"/>
              <w:rPr>
                <w:rFonts w:ascii="Times New Roman" w:hAnsi="Times New Roman"/>
                <w:sz w:val="12"/>
                <w:szCs w:val="12"/>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jc w:val="left"/>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b/>
                <w:sz w:val="12"/>
                <w:szCs w:val="12"/>
              </w:rPr>
            </w:pPr>
            <w:r>
              <w:rPr>
                <w:rFonts w:ascii="Times New Roman" w:hAnsi="Times New Roman"/>
                <w:b/>
                <w:sz w:val="12"/>
                <w:szCs w:val="12"/>
              </w:rPr>
              <w:t>METHKATINON (MTC)</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jc w:val="left"/>
              <w:rPr>
                <w:rFonts w:ascii="Times New Roman" w:hAnsi="Times New Roman"/>
                <w:sz w:val="12"/>
                <w:szCs w:val="12"/>
              </w:rPr>
            </w:pP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Metkatinon</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300</w:t>
            </w: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Ranitidin</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50 000</w:t>
            </w: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Hydrochlorid prokainu</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2 000</w:t>
            </w: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Hydrochlorid 4-methylethkatinonu</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1 000</w:t>
            </w: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Butylon HCl</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100</w:t>
            </w: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Etylon</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1 000</w:t>
            </w: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R(+)-metkatinon</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10 000</w:t>
            </w: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S(-)-metkatinon</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300</w:t>
            </w: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(±)-MDMA</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12 000</w:t>
            </w: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 3,4-methylendioxy-n-ethylamfetamin (MDEA)</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20 000</w:t>
            </w: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Hydrochlorid trimethobenzamidu</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50 000</w:t>
            </w: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Kokain HCl</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&gt;100 000</w:t>
            </w: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p-hydroxymetamfetamin</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65 000</w:t>
            </w: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D,L-metamfetamin</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15 000</w:t>
            </w: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Hydrochlorid metylonu</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80</w:t>
            </w: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Mefedron</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20</w:t>
            </w: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Methedron</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20</w:t>
            </w: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Klonidin</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50 000</w:t>
            </w: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Tetrahydrozolin</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30 000</w:t>
            </w: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S(+)-metamfetamin</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4 000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jc w:val="left"/>
              <w:rPr>
                <w:rFonts w:ascii="Times New Roman" w:hAnsi="Times New Roman"/>
                <w:sz w:val="12"/>
                <w:szCs w:val="12"/>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jc w:val="left"/>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b/>
                <w:sz w:val="12"/>
                <w:szCs w:val="12"/>
              </w:rPr>
            </w:pPr>
            <w:r>
              <w:rPr>
                <w:rFonts w:ascii="Times New Roman" w:hAnsi="Times New Roman"/>
                <w:b/>
                <w:sz w:val="12"/>
                <w:szCs w:val="12"/>
              </w:rPr>
              <w:t>METHYLENEDIOXYPYROVALERON (MDPV)</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autoSpaceDE w:val="0"/>
              <w:autoSpaceDN w:val="0"/>
              <w:adjustRightInd w:val="0"/>
              <w:rPr>
                <w:rFonts w:ascii="Times New Roman" w:hAnsi="Times New Roman"/>
                <w:sz w:val="12"/>
                <w:szCs w:val="12"/>
                <w:highlight w:val="yellow"/>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overflowPunct w:val="0"/>
              <w:autoSpaceDE w:val="0"/>
              <w:autoSpaceDN w:val="0"/>
              <w:adjustRightInd w:val="0"/>
              <w:jc w:val="left"/>
              <w:textAlignment w:val="baseline"/>
              <w:rPr>
                <w:rFonts w:ascii="Times New Roman" w:hAnsi="Times New Roman"/>
                <w:kern w:val="0"/>
                <w:sz w:val="12"/>
                <w:szCs w:val="12"/>
              </w:rPr>
            </w:pPr>
            <w:r>
              <w:rPr>
                <w:rFonts w:ascii="Times New Roman" w:hAnsi="Times New Roman"/>
                <w:kern w:val="0"/>
                <w:sz w:val="12"/>
                <w:szCs w:val="12"/>
              </w:rPr>
              <w:t>3,4-methylendioxypyrovaleron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overflowPunct w:val="0"/>
              <w:autoSpaceDE w:val="0"/>
              <w:autoSpaceDN w:val="0"/>
              <w:adjustRightInd w:val="0"/>
              <w:jc w:val="left"/>
              <w:textAlignment w:val="baseline"/>
              <w:rPr>
                <w:rFonts w:ascii="Times New Roman" w:hAnsi="Times New Roman"/>
                <w:kern w:val="0"/>
                <w:sz w:val="12"/>
                <w:szCs w:val="12"/>
              </w:rPr>
            </w:pPr>
            <w:r>
              <w:rPr>
                <w:rFonts w:ascii="Times New Roman" w:hAnsi="Times New Roman"/>
                <w:kern w:val="0"/>
                <w:sz w:val="12"/>
                <w:szCs w:val="12"/>
              </w:rPr>
              <w:t>Ethylon HCl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overflowPunct w:val="0"/>
              <w:autoSpaceDE w:val="0"/>
              <w:autoSpaceDN w:val="0"/>
              <w:adjustRightInd w:val="0"/>
              <w:snapToGrid w:val="0"/>
              <w:jc w:val="left"/>
              <w:textAlignment w:val="baseline"/>
              <w:rPr>
                <w:rFonts w:ascii="Times New Roman" w:hAnsi="Times New Roman"/>
                <w:kern w:val="0"/>
                <w:sz w:val="12"/>
                <w:szCs w:val="12"/>
              </w:rPr>
            </w:pPr>
            <w:r>
              <w:rPr>
                <w:rFonts w:ascii="Times New Roman" w:hAnsi="Times New Roman"/>
                <w:kern w:val="0"/>
                <w:sz w:val="12"/>
                <w:szCs w:val="12"/>
              </w:rPr>
              <w:t>1 200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overflowPunct w:val="0"/>
              <w:autoSpaceDE w:val="0"/>
              <w:autoSpaceDN w:val="0"/>
              <w:adjustRightInd w:val="0"/>
              <w:jc w:val="left"/>
              <w:textAlignment w:val="baseline"/>
              <w:rPr>
                <w:rFonts w:ascii="Times New Roman" w:hAnsi="Times New Roman"/>
                <w:kern w:val="0"/>
                <w:sz w:val="12"/>
                <w:szCs w:val="12"/>
              </w:rPr>
            </w:pPr>
            <w:r>
              <w:rPr>
                <w:rFonts w:ascii="Times New Roman" w:hAnsi="Times New Roman"/>
                <w:kern w:val="0"/>
                <w:sz w:val="12"/>
                <w:szCs w:val="12"/>
              </w:rPr>
              <w:t>Methylon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overflowPunct w:val="0"/>
              <w:autoSpaceDE w:val="0"/>
              <w:autoSpaceDN w:val="0"/>
              <w:adjustRightInd w:val="0"/>
              <w:snapToGrid w:val="0"/>
              <w:ind w:right="-108"/>
              <w:jc w:val="left"/>
              <w:textAlignment w:val="baseline"/>
              <w:rPr>
                <w:rFonts w:ascii="Times New Roman" w:hAnsi="Times New Roman"/>
                <w:kern w:val="0"/>
                <w:sz w:val="12"/>
                <w:szCs w:val="12"/>
              </w:rPr>
            </w:pPr>
            <w:r>
              <w:rPr>
                <w:rFonts w:ascii="Times New Roman" w:hAnsi="Times New Roman"/>
                <w:kern w:val="0"/>
                <w:sz w:val="12"/>
                <w:szCs w:val="12"/>
              </w:rPr>
              <w:t>50 000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overflowPunct w:val="0"/>
              <w:autoSpaceDE w:val="0"/>
              <w:autoSpaceDN w:val="0"/>
              <w:adjustRightInd w:val="0"/>
              <w:jc w:val="left"/>
              <w:textAlignment w:val="baseline"/>
              <w:rPr>
                <w:rFonts w:ascii="Times New Roman" w:hAnsi="Times New Roman"/>
                <w:kern w:val="0"/>
                <w:sz w:val="12"/>
                <w:szCs w:val="12"/>
              </w:rPr>
            </w:pPr>
            <w:r>
              <w:rPr>
                <w:rFonts w:ascii="Times New Roman" w:hAnsi="Times New Roman"/>
                <w:kern w:val="0"/>
                <w:sz w:val="12"/>
                <w:szCs w:val="12"/>
              </w:rPr>
              <w:t>Pyrovaleron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overflowPunct w:val="0"/>
              <w:autoSpaceDE w:val="0"/>
              <w:autoSpaceDN w:val="0"/>
              <w:adjustRightInd w:val="0"/>
              <w:snapToGrid w:val="0"/>
              <w:ind w:rightChars="-16" w:right="-34"/>
              <w:jc w:val="left"/>
              <w:textAlignment w:val="baseline"/>
              <w:rPr>
                <w:rFonts w:ascii="Times New Roman" w:hAnsi="Times New Roman"/>
                <w:kern w:val="0"/>
                <w:sz w:val="12"/>
                <w:szCs w:val="12"/>
              </w:rPr>
            </w:pPr>
            <w:r>
              <w:rPr>
                <w:rFonts w:ascii="Times New Roman" w:hAnsi="Times New Roman"/>
                <w:kern w:val="0"/>
                <w:sz w:val="12"/>
                <w:szCs w:val="12"/>
              </w:rPr>
              <w:t>50 000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autoSpaceDE w:val="0"/>
              <w:autoSpaceDN w:val="0"/>
              <w:adjustRightInd w:val="0"/>
              <w:jc w:val="left"/>
              <w:rPr>
                <w:rFonts w:ascii="Times New Roman" w:hAnsi="Times New Roman"/>
                <w:sz w:val="12"/>
                <w:szCs w:val="12"/>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autoSpaceDE w:val="0"/>
              <w:autoSpaceDN w:val="0"/>
              <w:adjustRightInd w:val="0"/>
              <w:jc w:val="left"/>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jc w:val="left"/>
              <w:rPr>
                <w:rFonts w:ascii="Times New Roman" w:hAnsi="Times New Roman"/>
                <w:b/>
                <w:sz w:val="12"/>
                <w:szCs w:val="12"/>
              </w:rPr>
            </w:pPr>
            <w:r>
              <w:rPr>
                <w:rFonts w:ascii="Times New Roman" w:hAnsi="Times New Roman"/>
                <w:b/>
                <w:sz w:val="12"/>
                <w:szCs w:val="12"/>
              </w:rPr>
              <w:t>METYLFENIDÁT (MPD)</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autoSpaceDE w:val="0"/>
              <w:autoSpaceDN w:val="0"/>
              <w:adjustRightInd w:val="0"/>
              <w:jc w:val="left"/>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iCs/>
                <w:color w:val="000000"/>
                <w:kern w:val="0"/>
                <w:sz w:val="12"/>
                <w:szCs w:val="12"/>
                <w:lang w:eastAsia="en-US"/>
              </w:rPr>
              <w:t>Methylfenidát</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spacing w:line="0" w:lineRule="atLeast"/>
              <w:jc w:val="left"/>
              <w:rPr>
                <w:rFonts w:ascii="Times New Roman" w:hAnsi="Times New Roman"/>
                <w:sz w:val="12"/>
                <w:szCs w:val="12"/>
              </w:rPr>
            </w:pPr>
            <w:r>
              <w:rPr>
                <w:rFonts w:ascii="Times New Roman" w:hAnsi="Times New Roman"/>
                <w:sz w:val="12"/>
                <w:szCs w:val="12"/>
              </w:rPr>
              <w:t>300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autoSpaceDE w:val="0"/>
              <w:autoSpaceDN w:val="0"/>
              <w:adjustRightInd w:val="0"/>
              <w:jc w:val="left"/>
              <w:rPr>
                <w:rFonts w:ascii="Times New Roman" w:hAnsi="Times New Roman"/>
                <w:sz w:val="12"/>
                <w:szCs w:val="12"/>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autoSpaceDE w:val="0"/>
              <w:autoSpaceDN w:val="0"/>
              <w:adjustRightInd w:val="0"/>
              <w:jc w:val="left"/>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b/>
                <w:sz w:val="12"/>
                <w:szCs w:val="12"/>
              </w:rPr>
              <w:t>6-monoacetylmorfin (6-MAM)</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6-monoacetylmorfin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10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Morfin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&gt;500 000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Kodein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&gt;600 000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Dextrometorfan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Dihydrokodein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Heroin HCl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250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Hydrokodon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Hydromorfon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Imipramin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Levorfanol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Normeperidin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Normorfin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Nalorfin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Naloxon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Naltrexon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Norcodein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Oxycodon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Oxymorfon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jc w:val="left"/>
              <w:rPr>
                <w:rFonts w:ascii="Times New Roman" w:hAnsi="Times New Roman"/>
                <w:sz w:val="12"/>
                <w:szCs w:val="12"/>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jc w:val="left"/>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b/>
                <w:sz w:val="12"/>
                <w:szCs w:val="12"/>
              </w:rPr>
              <w:t>6-monoacetylmorfin (6-MAM 20)</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jc w:val="left"/>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6-monoacetylmorfin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Morfin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&gt;1 000 000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Kodein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&gt;1 200 000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Dextrometorfan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&gt;200 000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Dihydrokodein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&gt;200 000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Heroin HCl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500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Hydrokodon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&gt;200 000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Hydromorfon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&gt;200 000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Imipramin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&gt;200 000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Levorfanol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&gt;20 000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Normeperidin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&gt;20 000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Normorfin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&gt;200 000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Nalorfin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&gt;200 000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Naloxon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&gt;200 000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Naltrexon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&gt;200 000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Norcodein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&gt;200 000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Oxycodon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&gt;200 000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Oxymorfon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&gt;200 000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jc w:val="left"/>
              <w:rPr>
                <w:rFonts w:ascii="Times New Roman" w:hAnsi="Times New Roman"/>
                <w:sz w:val="12"/>
                <w:szCs w:val="12"/>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jc w:val="left"/>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tabs>
                <w:tab w:val="left" w:pos="5220"/>
              </w:tabs>
              <w:rPr>
                <w:rFonts w:ascii="Times New Roman" w:hAnsi="Times New Roman"/>
                <w:b/>
                <w:sz w:val="12"/>
                <w:szCs w:val="12"/>
              </w:rPr>
            </w:pPr>
            <w:r>
              <w:rPr>
                <w:rFonts w:ascii="Times New Roman" w:hAnsi="Times New Roman"/>
                <w:b/>
                <w:sz w:val="12"/>
                <w:szCs w:val="12"/>
              </w:rPr>
              <w:t>MORFIN (MOP)</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tabs>
                <w:tab w:val="left" w:pos="5220"/>
              </w:tabs>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Morfin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300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O6-Acetylmorfin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400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Kodein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300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Ethylmorfin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100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Heroin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600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084EE9" w:rsidRDefault="007270C2" w:rsidP="00084EE9">
            <w:pPr>
              <w:autoSpaceDE w:val="0"/>
              <w:autoSpaceDN w:val="0"/>
              <w:adjustRightInd w:val="0"/>
              <w:rPr>
                <w:rFonts w:ascii="Times New Roman" w:hAnsi="Times New Roman"/>
                <w:sz w:val="12"/>
                <w:szCs w:val="12"/>
              </w:rPr>
            </w:pPr>
            <w:r>
              <w:rPr>
                <w:rFonts w:ascii="Times New Roman" w:hAnsi="Times New Roman"/>
                <w:sz w:val="12"/>
                <w:szCs w:val="12"/>
              </w:rPr>
              <w:t>Hydromorfon</w:t>
            </w:r>
          </w:p>
        </w:tc>
        <w:tc>
          <w:tcPr>
            <w:tcW w:w="1507" w:type="dxa"/>
            <w:tcBorders>
              <w:top w:val="single" w:sz="4" w:space="0" w:color="auto"/>
              <w:left w:val="single" w:sz="4" w:space="0" w:color="auto"/>
              <w:bottom w:val="single" w:sz="4" w:space="0" w:color="auto"/>
              <w:right w:val="single" w:sz="4" w:space="0" w:color="auto"/>
            </w:tcBorders>
            <w:vAlign w:val="center"/>
          </w:tcPr>
          <w:p w:rsidR="00084EE9" w:rsidRPr="00217158" w:rsidRDefault="007270C2" w:rsidP="00084EE9">
            <w:pPr>
              <w:autoSpaceDE w:val="0"/>
              <w:autoSpaceDN w:val="0"/>
              <w:adjustRightInd w:val="0"/>
              <w:rPr>
                <w:rFonts w:ascii="Times New Roman" w:hAnsi="Times New Roman"/>
                <w:sz w:val="12"/>
                <w:szCs w:val="12"/>
              </w:rPr>
            </w:pPr>
            <w:r>
              <w:rPr>
                <w:rFonts w:ascii="Times New Roman" w:hAnsi="Times New Roman"/>
                <w:sz w:val="12"/>
                <w:szCs w:val="12"/>
              </w:rPr>
              <w:t>5 000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084EE9" w:rsidRDefault="007270C2" w:rsidP="00084EE9">
            <w:pPr>
              <w:autoSpaceDE w:val="0"/>
              <w:autoSpaceDN w:val="0"/>
              <w:adjustRightInd w:val="0"/>
              <w:rPr>
                <w:rFonts w:ascii="Times New Roman" w:hAnsi="Times New Roman"/>
                <w:sz w:val="12"/>
                <w:szCs w:val="12"/>
              </w:rPr>
            </w:pPr>
            <w:r>
              <w:rPr>
                <w:rFonts w:ascii="Times New Roman" w:hAnsi="Times New Roman"/>
                <w:sz w:val="12"/>
                <w:szCs w:val="12"/>
              </w:rPr>
              <w:t>Hydrokodon</w:t>
            </w:r>
          </w:p>
        </w:tc>
        <w:tc>
          <w:tcPr>
            <w:tcW w:w="1507" w:type="dxa"/>
            <w:tcBorders>
              <w:top w:val="single" w:sz="4" w:space="0" w:color="auto"/>
              <w:left w:val="single" w:sz="4" w:space="0" w:color="auto"/>
              <w:bottom w:val="single" w:sz="4" w:space="0" w:color="auto"/>
              <w:right w:val="single" w:sz="4" w:space="0" w:color="auto"/>
            </w:tcBorders>
            <w:vAlign w:val="center"/>
          </w:tcPr>
          <w:p w:rsidR="00084EE9" w:rsidRPr="00217158" w:rsidRDefault="007270C2" w:rsidP="00084EE9">
            <w:pPr>
              <w:autoSpaceDE w:val="0"/>
              <w:autoSpaceDN w:val="0"/>
              <w:adjustRightInd w:val="0"/>
              <w:rPr>
                <w:rFonts w:ascii="Times New Roman" w:hAnsi="Times New Roman"/>
                <w:sz w:val="12"/>
                <w:szCs w:val="12"/>
              </w:rPr>
            </w:pPr>
            <w:r w:rsidRPr="00217158">
              <w:rPr>
                <w:rFonts w:ascii="Times New Roman" w:hAnsi="Times New Roman"/>
                <w:sz w:val="12"/>
                <w:szCs w:val="12"/>
              </w:rPr>
              <w:t>10 000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Levorfanol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1 500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Oxycodon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30 000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Prokain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15 000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Teabin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6 240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b/>
                <w:sz w:val="12"/>
                <w:szCs w:val="12"/>
              </w:rPr>
              <w:t>MORFIN (OPI, MOP2000)</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rPr>
        <w:tc>
          <w:tcPr>
            <w:tcW w:w="3273" w:type="dxa"/>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Morfium</w:t>
            </w:r>
          </w:p>
        </w:tc>
        <w:tc>
          <w:tcPr>
            <w:tcW w:w="1507" w:type="dxa"/>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2 000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O6-Acetylmorfin</w:t>
            </w:r>
          </w:p>
        </w:tc>
        <w:tc>
          <w:tcPr>
            <w:tcW w:w="1507" w:type="dxa"/>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2 500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Kodein</w:t>
            </w:r>
          </w:p>
        </w:tc>
        <w:tc>
          <w:tcPr>
            <w:tcW w:w="1507" w:type="dxa"/>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1 000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Ethylmorfin</w:t>
            </w:r>
          </w:p>
        </w:tc>
        <w:tc>
          <w:tcPr>
            <w:tcW w:w="1507" w:type="dxa"/>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250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Heroin</w:t>
            </w:r>
          </w:p>
        </w:tc>
        <w:tc>
          <w:tcPr>
            <w:tcW w:w="1507" w:type="dxa"/>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5 000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Hydromorfon</w:t>
            </w:r>
          </w:p>
        </w:tc>
        <w:tc>
          <w:tcPr>
            <w:tcW w:w="1507" w:type="dxa"/>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2 500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Hydrokodon</w:t>
            </w:r>
          </w:p>
        </w:tc>
        <w:tc>
          <w:tcPr>
            <w:tcW w:w="1507" w:type="dxa"/>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5 000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Oxycodon</w:t>
            </w:r>
          </w:p>
        </w:tc>
        <w:tc>
          <w:tcPr>
            <w:tcW w:w="1507" w:type="dxa"/>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75 000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Teabin</w:t>
            </w:r>
          </w:p>
        </w:tc>
        <w:tc>
          <w:tcPr>
            <w:tcW w:w="1507" w:type="dxa"/>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13 000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b/>
                <w:sz w:val="12"/>
                <w:szCs w:val="12"/>
              </w:rPr>
              <w:t>OXYKODON (OXY)</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Hydrochlorid naloxonu</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Hydrochlorid naltrexonu</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50 000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Oxycodon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100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Hydrokodon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5 000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Hydromorfon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25 000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Oxymorfon-D3</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5 000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Oxymorfon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N-benzylisopropylamin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jc w:val="left"/>
              <w:rPr>
                <w:rFonts w:ascii="Times New Roman" w:hAnsi="Times New Roman"/>
                <w:sz w:val="12"/>
                <w:szCs w:val="12"/>
              </w:rPr>
            </w:pPr>
            <w:r>
              <w:rPr>
                <w:rFonts w:ascii="Times New Roman" w:hAnsi="Times New Roman"/>
                <w:sz w:val="12"/>
                <w:szCs w:val="12"/>
              </w:rPr>
              <w:t>2 500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b/>
                <w:sz w:val="12"/>
                <w:szCs w:val="12"/>
              </w:rPr>
            </w:pPr>
            <w:r>
              <w:rPr>
                <w:rFonts w:ascii="Times New Roman" w:hAnsi="Times New Roman"/>
                <w:b/>
                <w:sz w:val="12"/>
                <w:szCs w:val="12"/>
              </w:rPr>
              <w:t>FENCYKLIDIN (PCP)</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Fencyklidin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25</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4-hydroxyfencyklidin</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90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EE7251">
            <w:pPr>
              <w:autoSpaceDE w:val="0"/>
              <w:autoSpaceDN w:val="0"/>
              <w:adjustRightInd w:val="0"/>
              <w:rPr>
                <w:rFonts w:ascii="Times New Roman" w:hAnsi="Times New Roman"/>
                <w:sz w:val="12"/>
                <w:szCs w:val="12"/>
              </w:rPr>
            </w:pP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b/>
                <w:sz w:val="12"/>
                <w:szCs w:val="12"/>
              </w:rPr>
              <w:t>PREGABALIN (PGB)</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lastRenderedPageBreak/>
              <w:t>Pregabalin (PGB)</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1 000</w:t>
            </w:r>
          </w:p>
        </w:tc>
      </w:tr>
      <w:tr w:rsidR="00872005">
        <w:trPr>
          <w:trHeight w:val="164"/>
        </w:trPr>
        <w:tc>
          <w:tcPr>
            <w:tcW w:w="3273" w:type="dxa"/>
            <w:vAlign w:val="center"/>
          </w:tcPr>
          <w:p w:rsidR="00EE7251" w:rsidRDefault="00EE7251">
            <w:pPr>
              <w:jc w:val="left"/>
              <w:rPr>
                <w:rFonts w:ascii="Times New Roman" w:hAnsi="Times New Roman"/>
                <w:sz w:val="12"/>
                <w:szCs w:val="12"/>
              </w:rPr>
            </w:pPr>
          </w:p>
        </w:tc>
        <w:tc>
          <w:tcPr>
            <w:tcW w:w="1507" w:type="dxa"/>
            <w:vAlign w:val="center"/>
          </w:tcPr>
          <w:p w:rsidR="00EE7251" w:rsidRDefault="00EE7251">
            <w:pPr>
              <w:jc w:val="left"/>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b/>
                <w:sz w:val="12"/>
                <w:szCs w:val="12"/>
              </w:rPr>
              <w:t>PREGABALIN (PGB 500)</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rPr>
        <w:tc>
          <w:tcPr>
            <w:tcW w:w="3273" w:type="dxa"/>
            <w:vAlign w:val="center"/>
          </w:tcPr>
          <w:p w:rsidR="00EE7251" w:rsidRDefault="007270C2">
            <w:pPr>
              <w:jc w:val="left"/>
              <w:rPr>
                <w:rFonts w:ascii="Times New Roman" w:hAnsi="Times New Roman"/>
                <w:sz w:val="12"/>
                <w:szCs w:val="12"/>
              </w:rPr>
            </w:pPr>
            <w:r>
              <w:rPr>
                <w:rFonts w:ascii="Times New Roman" w:hAnsi="Times New Roman"/>
                <w:sz w:val="12"/>
                <w:szCs w:val="12"/>
              </w:rPr>
              <w:t>Pregabalin (PGB)</w:t>
            </w:r>
          </w:p>
        </w:tc>
        <w:tc>
          <w:tcPr>
            <w:tcW w:w="1507" w:type="dxa"/>
            <w:vAlign w:val="center"/>
          </w:tcPr>
          <w:p w:rsidR="00EE7251" w:rsidRDefault="007270C2">
            <w:pPr>
              <w:jc w:val="left"/>
              <w:rPr>
                <w:rFonts w:ascii="Times New Roman" w:hAnsi="Times New Roman"/>
                <w:sz w:val="12"/>
                <w:szCs w:val="12"/>
              </w:rPr>
            </w:pPr>
            <w:r>
              <w:rPr>
                <w:rFonts w:ascii="Times New Roman" w:hAnsi="Times New Roman"/>
                <w:sz w:val="12"/>
                <w:szCs w:val="12"/>
              </w:rPr>
              <w:t>500</w:t>
            </w:r>
          </w:p>
        </w:tc>
      </w:tr>
      <w:tr w:rsidR="00872005">
        <w:trPr>
          <w:trHeight w:val="164"/>
        </w:trPr>
        <w:tc>
          <w:tcPr>
            <w:tcW w:w="3273" w:type="dxa"/>
            <w:vAlign w:val="center"/>
          </w:tcPr>
          <w:p w:rsidR="00EE7251" w:rsidRDefault="00EE7251">
            <w:pPr>
              <w:jc w:val="left"/>
              <w:rPr>
                <w:rFonts w:ascii="Times New Roman" w:hAnsi="Times New Roman"/>
                <w:sz w:val="12"/>
                <w:szCs w:val="12"/>
              </w:rPr>
            </w:pPr>
          </w:p>
        </w:tc>
        <w:tc>
          <w:tcPr>
            <w:tcW w:w="1507" w:type="dxa"/>
            <w:vAlign w:val="center"/>
          </w:tcPr>
          <w:p w:rsidR="00EE7251" w:rsidRDefault="00EE7251">
            <w:pPr>
              <w:jc w:val="left"/>
              <w:rPr>
                <w:rFonts w:ascii="Times New Roman" w:hAnsi="Times New Roman"/>
                <w:sz w:val="12"/>
                <w:szCs w:val="12"/>
              </w:rPr>
            </w:pPr>
          </w:p>
        </w:tc>
      </w:tr>
      <w:tr w:rsidR="00872005">
        <w:trPr>
          <w:trHeight w:val="164"/>
        </w:trPr>
        <w:tc>
          <w:tcPr>
            <w:tcW w:w="3273" w:type="dxa"/>
            <w:vAlign w:val="center"/>
          </w:tcPr>
          <w:p w:rsidR="00EE7251" w:rsidRDefault="007270C2">
            <w:pPr>
              <w:rPr>
                <w:rFonts w:ascii="Times New Roman" w:hAnsi="Times New Roman"/>
                <w:b/>
                <w:sz w:val="12"/>
                <w:szCs w:val="12"/>
              </w:rPr>
            </w:pPr>
            <w:r>
              <w:rPr>
                <w:rFonts w:ascii="Times New Roman" w:hAnsi="Times New Roman"/>
                <w:b/>
                <w:sz w:val="12"/>
                <w:szCs w:val="12"/>
              </w:rPr>
              <w:t>PROPOXYFEN (PPX)</w:t>
            </w:r>
          </w:p>
        </w:tc>
        <w:tc>
          <w:tcPr>
            <w:tcW w:w="1507" w:type="dxa"/>
            <w:vAlign w:val="center"/>
          </w:tcPr>
          <w:p w:rsidR="00EE7251" w:rsidRDefault="00EE7251">
            <w:pPr>
              <w:rPr>
                <w:rFonts w:ascii="Times New Roman" w:hAnsi="Times New Roman"/>
                <w:sz w:val="12"/>
                <w:szCs w:val="12"/>
              </w:rPr>
            </w:pP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Norpropoxyfen</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300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d-propoxyfen</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300</w:t>
            </w:r>
          </w:p>
        </w:tc>
      </w:tr>
      <w:tr w:rsidR="00872005">
        <w:trPr>
          <w:trHeight w:val="164"/>
        </w:trPr>
        <w:tc>
          <w:tcPr>
            <w:tcW w:w="3273" w:type="dxa"/>
            <w:vAlign w:val="center"/>
          </w:tcPr>
          <w:p w:rsidR="00EE7251" w:rsidRDefault="00EE7251">
            <w:pPr>
              <w:rPr>
                <w:rFonts w:ascii="Times New Roman" w:hAnsi="Times New Roman"/>
                <w:sz w:val="12"/>
                <w:szCs w:val="12"/>
              </w:rPr>
            </w:pPr>
          </w:p>
        </w:tc>
        <w:tc>
          <w:tcPr>
            <w:tcW w:w="1507" w:type="dxa"/>
            <w:vAlign w:val="center"/>
          </w:tcPr>
          <w:p w:rsidR="00EE7251" w:rsidRDefault="00EE7251">
            <w:pPr>
              <w:rPr>
                <w:rFonts w:ascii="Times New Roman" w:hAnsi="Times New Roman"/>
                <w:sz w:val="12"/>
                <w:szCs w:val="12"/>
              </w:rPr>
            </w:pPr>
          </w:p>
        </w:tc>
      </w:tr>
      <w:tr w:rsidR="00872005">
        <w:trPr>
          <w:trHeight w:val="164"/>
        </w:trPr>
        <w:tc>
          <w:tcPr>
            <w:tcW w:w="3273" w:type="dxa"/>
            <w:vAlign w:val="center"/>
          </w:tcPr>
          <w:p w:rsidR="00EE7251" w:rsidRDefault="007270C2">
            <w:pPr>
              <w:spacing w:line="0" w:lineRule="atLeast"/>
              <w:jc w:val="left"/>
              <w:rPr>
                <w:rFonts w:ascii="Times New Roman" w:hAnsi="Times New Roman"/>
                <w:b/>
                <w:bCs/>
                <w:sz w:val="12"/>
                <w:szCs w:val="12"/>
              </w:rPr>
            </w:pPr>
            <w:r>
              <w:rPr>
                <w:rFonts w:ascii="Times New Roman" w:hAnsi="Times New Roman"/>
                <w:b/>
                <w:bCs/>
                <w:sz w:val="12"/>
                <w:szCs w:val="12"/>
              </w:rPr>
              <w:t>UR-144</w:t>
            </w:r>
          </w:p>
        </w:tc>
        <w:tc>
          <w:tcPr>
            <w:tcW w:w="1507" w:type="dxa"/>
            <w:vAlign w:val="center"/>
          </w:tcPr>
          <w:p w:rsidR="00EE7251" w:rsidRDefault="00EE7251">
            <w:pPr>
              <w:spacing w:line="0" w:lineRule="atLeast"/>
              <w:jc w:val="left"/>
              <w:rPr>
                <w:rFonts w:ascii="Times New Roman" w:hAnsi="Times New Roman"/>
                <w:b/>
                <w:bCs/>
                <w:sz w:val="12"/>
                <w:szCs w:val="12"/>
                <w:lang w:eastAsia="en-US"/>
              </w:rPr>
            </w:pPr>
          </w:p>
        </w:tc>
      </w:tr>
      <w:tr w:rsidR="00872005">
        <w:trPr>
          <w:trHeight w:val="164"/>
        </w:trPr>
        <w:tc>
          <w:tcPr>
            <w:tcW w:w="3273" w:type="dxa"/>
            <w:vAlign w:val="center"/>
          </w:tcPr>
          <w:p w:rsidR="00EE7251" w:rsidRDefault="007270C2">
            <w:pPr>
              <w:spacing w:line="0" w:lineRule="atLeast"/>
              <w:jc w:val="left"/>
              <w:rPr>
                <w:rFonts w:ascii="Times New Roman" w:hAnsi="Times New Roman"/>
                <w:bCs/>
                <w:sz w:val="12"/>
                <w:szCs w:val="12"/>
              </w:rPr>
            </w:pPr>
            <w:r>
              <w:rPr>
                <w:rFonts w:ascii="Times New Roman" w:hAnsi="Times New Roman"/>
                <w:bCs/>
                <w:sz w:val="12"/>
                <w:szCs w:val="12"/>
              </w:rPr>
              <w:t>UR-144 5-pentanová</w:t>
            </w:r>
            <w:r>
              <w:rPr>
                <w:rFonts w:ascii="Times New Roman" w:hAnsi="Times New Roman"/>
                <w:bCs/>
                <w:sz w:val="12"/>
                <w:szCs w:val="12"/>
              </w:rPr>
              <w:tab/>
            </w:r>
          </w:p>
        </w:tc>
        <w:tc>
          <w:tcPr>
            <w:tcW w:w="1507" w:type="dxa"/>
            <w:vAlign w:val="center"/>
          </w:tcPr>
          <w:p w:rsidR="00EE7251" w:rsidRDefault="007270C2">
            <w:pPr>
              <w:spacing w:line="0" w:lineRule="atLeast"/>
              <w:jc w:val="left"/>
              <w:rPr>
                <w:rFonts w:ascii="Times New Roman" w:hAnsi="Times New Roman"/>
                <w:bCs/>
                <w:sz w:val="12"/>
                <w:szCs w:val="12"/>
              </w:rPr>
            </w:pPr>
            <w:r>
              <w:rPr>
                <w:rFonts w:ascii="Times New Roman" w:hAnsi="Times New Roman"/>
                <w:bCs/>
                <w:sz w:val="12"/>
                <w:szCs w:val="12"/>
              </w:rPr>
              <w:t>50</w:t>
            </w:r>
          </w:p>
        </w:tc>
      </w:tr>
      <w:tr w:rsidR="00872005">
        <w:trPr>
          <w:trHeight w:val="164"/>
        </w:trPr>
        <w:tc>
          <w:tcPr>
            <w:tcW w:w="3273" w:type="dxa"/>
            <w:vAlign w:val="center"/>
          </w:tcPr>
          <w:p w:rsidR="00EE7251" w:rsidRDefault="007270C2">
            <w:pPr>
              <w:spacing w:line="0" w:lineRule="atLeast"/>
              <w:jc w:val="left"/>
              <w:rPr>
                <w:rFonts w:ascii="Times New Roman" w:hAnsi="Times New Roman"/>
                <w:bCs/>
                <w:sz w:val="12"/>
                <w:szCs w:val="12"/>
              </w:rPr>
            </w:pPr>
            <w:r>
              <w:rPr>
                <w:rFonts w:ascii="Times New Roman" w:hAnsi="Times New Roman"/>
                <w:bCs/>
                <w:sz w:val="12"/>
                <w:szCs w:val="12"/>
              </w:rPr>
              <w:t>UR-144 4-hydroxypentylový metabolit</w:t>
            </w:r>
          </w:p>
        </w:tc>
        <w:tc>
          <w:tcPr>
            <w:tcW w:w="1507" w:type="dxa"/>
            <w:vAlign w:val="center"/>
          </w:tcPr>
          <w:p w:rsidR="00EE7251" w:rsidRDefault="007270C2">
            <w:pPr>
              <w:spacing w:line="0" w:lineRule="atLeast"/>
              <w:jc w:val="left"/>
              <w:rPr>
                <w:rFonts w:ascii="Times New Roman" w:hAnsi="Times New Roman"/>
                <w:bCs/>
                <w:sz w:val="12"/>
                <w:szCs w:val="12"/>
              </w:rPr>
            </w:pPr>
            <w:r>
              <w:rPr>
                <w:rFonts w:ascii="Times New Roman" w:hAnsi="Times New Roman"/>
                <w:bCs/>
                <w:sz w:val="12"/>
                <w:szCs w:val="12"/>
              </w:rPr>
              <w:t>1 000</w:t>
            </w:r>
          </w:p>
        </w:tc>
      </w:tr>
      <w:tr w:rsidR="00872005">
        <w:trPr>
          <w:trHeight w:val="164"/>
        </w:trPr>
        <w:tc>
          <w:tcPr>
            <w:tcW w:w="3273" w:type="dxa"/>
            <w:vAlign w:val="center"/>
          </w:tcPr>
          <w:p w:rsidR="00EE7251" w:rsidRDefault="007270C2">
            <w:pPr>
              <w:spacing w:line="0" w:lineRule="atLeast"/>
              <w:jc w:val="left"/>
              <w:rPr>
                <w:rFonts w:ascii="Times New Roman" w:hAnsi="Times New Roman"/>
                <w:bCs/>
                <w:sz w:val="12"/>
                <w:szCs w:val="12"/>
              </w:rPr>
            </w:pPr>
            <w:r>
              <w:rPr>
                <w:rFonts w:ascii="Times New Roman" w:hAnsi="Times New Roman"/>
                <w:bCs/>
                <w:sz w:val="12"/>
                <w:szCs w:val="12"/>
              </w:rPr>
              <w:t>UR-144 5-hydroxypentylový metabolit-D5 (indol-D5)</w:t>
            </w:r>
            <w:r>
              <w:rPr>
                <w:rFonts w:ascii="Times New Roman" w:hAnsi="Times New Roman"/>
                <w:bCs/>
                <w:sz w:val="12"/>
                <w:szCs w:val="12"/>
              </w:rPr>
              <w:tab/>
            </w:r>
          </w:p>
        </w:tc>
        <w:tc>
          <w:tcPr>
            <w:tcW w:w="1507" w:type="dxa"/>
            <w:vAlign w:val="center"/>
          </w:tcPr>
          <w:p w:rsidR="00EE7251" w:rsidRDefault="007270C2">
            <w:pPr>
              <w:spacing w:line="0" w:lineRule="atLeast"/>
              <w:jc w:val="left"/>
              <w:rPr>
                <w:rFonts w:ascii="Times New Roman" w:hAnsi="Times New Roman"/>
                <w:bCs/>
                <w:sz w:val="12"/>
                <w:szCs w:val="12"/>
              </w:rPr>
            </w:pPr>
            <w:r>
              <w:rPr>
                <w:rFonts w:ascii="Times New Roman" w:hAnsi="Times New Roman"/>
                <w:bCs/>
                <w:sz w:val="12"/>
                <w:szCs w:val="12"/>
              </w:rPr>
              <w:t>500</w:t>
            </w:r>
          </w:p>
        </w:tc>
      </w:tr>
      <w:tr w:rsidR="00872005">
        <w:trPr>
          <w:trHeight w:val="164"/>
        </w:trPr>
        <w:tc>
          <w:tcPr>
            <w:tcW w:w="3273" w:type="dxa"/>
            <w:vAlign w:val="center"/>
          </w:tcPr>
          <w:p w:rsidR="00EE7251" w:rsidRDefault="007270C2">
            <w:pPr>
              <w:spacing w:line="0" w:lineRule="atLeast"/>
              <w:jc w:val="left"/>
              <w:rPr>
                <w:rFonts w:ascii="Times New Roman" w:hAnsi="Times New Roman"/>
                <w:bCs/>
                <w:sz w:val="12"/>
                <w:szCs w:val="12"/>
              </w:rPr>
            </w:pPr>
            <w:r>
              <w:rPr>
                <w:rFonts w:ascii="Times New Roman" w:hAnsi="Times New Roman"/>
                <w:bCs/>
                <w:sz w:val="12"/>
                <w:szCs w:val="12"/>
              </w:rPr>
              <w:t xml:space="preserve">UR-144 metabolit kyseliny 5-pentanové </w:t>
            </w:r>
          </w:p>
        </w:tc>
        <w:tc>
          <w:tcPr>
            <w:tcW w:w="1507" w:type="dxa"/>
            <w:vAlign w:val="center"/>
          </w:tcPr>
          <w:p w:rsidR="00EE7251" w:rsidRDefault="007270C2">
            <w:pPr>
              <w:spacing w:line="0" w:lineRule="atLeast"/>
              <w:jc w:val="left"/>
              <w:rPr>
                <w:rFonts w:ascii="Times New Roman" w:hAnsi="Times New Roman"/>
                <w:bCs/>
                <w:sz w:val="12"/>
                <w:szCs w:val="12"/>
              </w:rPr>
            </w:pPr>
            <w:r>
              <w:rPr>
                <w:rFonts w:ascii="Times New Roman" w:hAnsi="Times New Roman"/>
                <w:bCs/>
                <w:sz w:val="12"/>
                <w:szCs w:val="12"/>
              </w:rPr>
              <w:t>50</w:t>
            </w:r>
          </w:p>
        </w:tc>
      </w:tr>
      <w:tr w:rsidR="00872005">
        <w:trPr>
          <w:trHeight w:val="164"/>
        </w:trPr>
        <w:tc>
          <w:tcPr>
            <w:tcW w:w="3273" w:type="dxa"/>
            <w:vAlign w:val="center"/>
          </w:tcPr>
          <w:p w:rsidR="00EE7251" w:rsidRDefault="007270C2">
            <w:pPr>
              <w:spacing w:line="0" w:lineRule="atLeast"/>
              <w:jc w:val="left"/>
              <w:rPr>
                <w:rFonts w:ascii="Times New Roman" w:hAnsi="Times New Roman"/>
                <w:bCs/>
                <w:sz w:val="12"/>
                <w:szCs w:val="12"/>
              </w:rPr>
            </w:pPr>
            <w:r>
              <w:rPr>
                <w:rFonts w:ascii="Times New Roman" w:hAnsi="Times New Roman"/>
                <w:bCs/>
                <w:sz w:val="12"/>
                <w:szCs w:val="12"/>
              </w:rPr>
              <w:t>UR-144 5-hydroxypentylový metabolit</w:t>
            </w:r>
            <w:r>
              <w:rPr>
                <w:rFonts w:ascii="Times New Roman" w:hAnsi="Times New Roman"/>
                <w:bCs/>
                <w:sz w:val="12"/>
                <w:szCs w:val="12"/>
              </w:rPr>
              <w:tab/>
            </w:r>
          </w:p>
        </w:tc>
        <w:tc>
          <w:tcPr>
            <w:tcW w:w="1507" w:type="dxa"/>
            <w:vAlign w:val="center"/>
          </w:tcPr>
          <w:p w:rsidR="00EE7251" w:rsidRDefault="007270C2">
            <w:pPr>
              <w:spacing w:line="0" w:lineRule="atLeast"/>
              <w:jc w:val="left"/>
              <w:rPr>
                <w:rFonts w:ascii="Times New Roman" w:hAnsi="Times New Roman"/>
                <w:bCs/>
                <w:sz w:val="12"/>
                <w:szCs w:val="12"/>
              </w:rPr>
            </w:pPr>
            <w:r>
              <w:rPr>
                <w:rFonts w:ascii="Times New Roman" w:hAnsi="Times New Roman"/>
                <w:bCs/>
                <w:sz w:val="12"/>
                <w:szCs w:val="12"/>
              </w:rPr>
              <w:t>500</w:t>
            </w:r>
          </w:p>
        </w:tc>
      </w:tr>
      <w:tr w:rsidR="00872005">
        <w:trPr>
          <w:trHeight w:val="164"/>
        </w:trPr>
        <w:tc>
          <w:tcPr>
            <w:tcW w:w="3273" w:type="dxa"/>
            <w:vAlign w:val="center"/>
          </w:tcPr>
          <w:p w:rsidR="00EE7251" w:rsidRDefault="007270C2">
            <w:pPr>
              <w:spacing w:line="0" w:lineRule="atLeast"/>
              <w:jc w:val="left"/>
              <w:rPr>
                <w:rFonts w:ascii="Times New Roman" w:hAnsi="Times New Roman"/>
                <w:bCs/>
                <w:sz w:val="12"/>
                <w:szCs w:val="12"/>
              </w:rPr>
            </w:pPr>
            <w:r>
              <w:rPr>
                <w:rFonts w:ascii="Times New Roman" w:hAnsi="Times New Roman"/>
                <w:bCs/>
                <w:sz w:val="12"/>
                <w:szCs w:val="12"/>
              </w:rPr>
              <w:t>UR-144 metabolit kyseliny 5-pentanové-D5 (indol-D5)</w:t>
            </w:r>
            <w:r>
              <w:rPr>
                <w:rFonts w:ascii="Times New Roman" w:hAnsi="Times New Roman"/>
                <w:bCs/>
                <w:sz w:val="12"/>
                <w:szCs w:val="12"/>
              </w:rPr>
              <w:tab/>
            </w:r>
          </w:p>
        </w:tc>
        <w:tc>
          <w:tcPr>
            <w:tcW w:w="1507" w:type="dxa"/>
            <w:vAlign w:val="center"/>
          </w:tcPr>
          <w:p w:rsidR="00EE7251" w:rsidRDefault="007270C2">
            <w:pPr>
              <w:spacing w:line="0" w:lineRule="atLeast"/>
              <w:jc w:val="left"/>
              <w:rPr>
                <w:rFonts w:ascii="Times New Roman" w:hAnsi="Times New Roman"/>
                <w:bCs/>
                <w:sz w:val="12"/>
                <w:szCs w:val="12"/>
              </w:rPr>
            </w:pPr>
            <w:r>
              <w:rPr>
                <w:rFonts w:ascii="Times New Roman" w:hAnsi="Times New Roman"/>
                <w:bCs/>
                <w:sz w:val="12"/>
                <w:szCs w:val="12"/>
              </w:rPr>
              <w:t>50</w:t>
            </w:r>
          </w:p>
        </w:tc>
      </w:tr>
      <w:tr w:rsidR="00872005">
        <w:trPr>
          <w:trHeight w:val="164"/>
        </w:trPr>
        <w:tc>
          <w:tcPr>
            <w:tcW w:w="3273" w:type="dxa"/>
            <w:vAlign w:val="center"/>
          </w:tcPr>
          <w:p w:rsidR="00EE7251" w:rsidRDefault="00EE7251">
            <w:pPr>
              <w:rPr>
                <w:rFonts w:ascii="Times New Roman" w:hAnsi="Times New Roman"/>
                <w:sz w:val="12"/>
                <w:szCs w:val="12"/>
              </w:rPr>
            </w:pPr>
          </w:p>
        </w:tc>
        <w:tc>
          <w:tcPr>
            <w:tcW w:w="1507" w:type="dxa"/>
            <w:vAlign w:val="center"/>
          </w:tcPr>
          <w:p w:rsidR="00EE7251" w:rsidRDefault="00EE7251">
            <w:pPr>
              <w:rPr>
                <w:rFonts w:ascii="Times New Roman" w:hAnsi="Times New Roman"/>
                <w:sz w:val="12"/>
                <w:szCs w:val="12"/>
              </w:rPr>
            </w:pP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b/>
                <w:bCs/>
                <w:sz w:val="12"/>
                <w:szCs w:val="12"/>
              </w:rPr>
              <w:t>CARISOPRODOL (SOMA)</w:t>
            </w:r>
          </w:p>
        </w:tc>
        <w:tc>
          <w:tcPr>
            <w:tcW w:w="1507" w:type="dxa"/>
            <w:vAlign w:val="center"/>
          </w:tcPr>
          <w:p w:rsidR="00EE7251" w:rsidRDefault="00EE7251">
            <w:pPr>
              <w:rPr>
                <w:rFonts w:ascii="Times New Roman" w:hAnsi="Times New Roman"/>
                <w:sz w:val="12"/>
                <w:szCs w:val="12"/>
              </w:rPr>
            </w:pPr>
          </w:p>
        </w:tc>
      </w:tr>
      <w:tr w:rsidR="00872005">
        <w:trPr>
          <w:trHeight w:val="164"/>
        </w:trPr>
        <w:tc>
          <w:tcPr>
            <w:tcW w:w="3273" w:type="dxa"/>
            <w:vAlign w:val="center"/>
          </w:tcPr>
          <w:p w:rsidR="00EE7251" w:rsidRDefault="007270C2">
            <w:pPr>
              <w:rPr>
                <w:rFonts w:ascii="Times New Roman" w:hAnsi="Times New Roman"/>
                <w:b/>
                <w:sz w:val="12"/>
                <w:szCs w:val="12"/>
              </w:rPr>
            </w:pPr>
            <w:r>
              <w:rPr>
                <w:rFonts w:ascii="Times New Roman" w:hAnsi="Times New Roman"/>
                <w:sz w:val="12"/>
                <w:szCs w:val="12"/>
              </w:rPr>
              <w:t>Carisoprodol</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1 000</w:t>
            </w:r>
          </w:p>
        </w:tc>
      </w:tr>
      <w:tr w:rsidR="00872005">
        <w:trPr>
          <w:trHeight w:val="164"/>
        </w:trPr>
        <w:tc>
          <w:tcPr>
            <w:tcW w:w="3273" w:type="dxa"/>
            <w:vAlign w:val="center"/>
          </w:tcPr>
          <w:p w:rsidR="00EE7251" w:rsidRDefault="00EE7251">
            <w:pPr>
              <w:rPr>
                <w:rFonts w:ascii="Times New Roman" w:hAnsi="Times New Roman"/>
                <w:b/>
                <w:sz w:val="12"/>
                <w:szCs w:val="12"/>
              </w:rPr>
            </w:pPr>
          </w:p>
        </w:tc>
        <w:tc>
          <w:tcPr>
            <w:tcW w:w="1507" w:type="dxa"/>
            <w:vAlign w:val="center"/>
          </w:tcPr>
          <w:p w:rsidR="00EE7251" w:rsidRDefault="00EE7251">
            <w:pPr>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b/>
                <w:sz w:val="12"/>
                <w:szCs w:val="12"/>
              </w:rPr>
            </w:pPr>
            <w:r>
              <w:rPr>
                <w:rFonts w:ascii="Times New Roman" w:hAnsi="Times New Roman"/>
                <w:b/>
                <w:sz w:val="12"/>
                <w:szCs w:val="12"/>
              </w:rPr>
              <w:t>TRAMADOL (TRA)</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EE7251">
            <w:pPr>
              <w:rPr>
                <w:rFonts w:ascii="Times New Roman" w:hAnsi="Times New Roman"/>
                <w:sz w:val="12"/>
                <w:szCs w:val="12"/>
              </w:rPr>
            </w:pP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Tramadol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N-desmethyl-tramadol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500</w:t>
            </w:r>
          </w:p>
        </w:tc>
      </w:tr>
      <w:tr w:rsidR="00872005">
        <w:trPr>
          <w:trHeight w:val="164"/>
        </w:trPr>
        <w:tc>
          <w:tcPr>
            <w:tcW w:w="3273"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O-desmethyl-tramadol</w:t>
            </w:r>
          </w:p>
        </w:tc>
        <w:tc>
          <w:tcPr>
            <w:tcW w:w="1507" w:type="dxa"/>
            <w:tcBorders>
              <w:top w:val="single" w:sz="4" w:space="0" w:color="auto"/>
              <w:left w:val="single" w:sz="4" w:space="0" w:color="auto"/>
              <w:bottom w:val="single" w:sz="4" w:space="0" w:color="auto"/>
              <w:right w:val="single" w:sz="4" w:space="0" w:color="auto"/>
            </w:tcBorders>
            <w:vAlign w:val="center"/>
          </w:tcPr>
          <w:p w:rsidR="00EE7251" w:rsidRDefault="007270C2">
            <w:pPr>
              <w:rPr>
                <w:rFonts w:ascii="Times New Roman" w:hAnsi="Times New Roman"/>
                <w:sz w:val="12"/>
                <w:szCs w:val="12"/>
              </w:rPr>
            </w:pPr>
            <w:r>
              <w:rPr>
                <w:rFonts w:ascii="Times New Roman" w:hAnsi="Times New Roman"/>
                <w:sz w:val="12"/>
                <w:szCs w:val="12"/>
              </w:rPr>
              <w:t>20 000</w:t>
            </w:r>
          </w:p>
        </w:tc>
      </w:tr>
      <w:tr w:rsidR="00872005">
        <w:trPr>
          <w:trHeight w:val="164"/>
        </w:trPr>
        <w:tc>
          <w:tcPr>
            <w:tcW w:w="3273" w:type="dxa"/>
            <w:vAlign w:val="center"/>
          </w:tcPr>
          <w:p w:rsidR="00EE7251" w:rsidRDefault="00EE7251">
            <w:pPr>
              <w:rPr>
                <w:rFonts w:ascii="Times New Roman" w:hAnsi="Times New Roman"/>
                <w:b/>
                <w:sz w:val="12"/>
                <w:szCs w:val="12"/>
              </w:rPr>
            </w:pPr>
          </w:p>
        </w:tc>
        <w:tc>
          <w:tcPr>
            <w:tcW w:w="1507" w:type="dxa"/>
            <w:vAlign w:val="center"/>
          </w:tcPr>
          <w:p w:rsidR="00EE7251" w:rsidRDefault="00EE7251">
            <w:pPr>
              <w:rPr>
                <w:rFonts w:ascii="Times New Roman" w:hAnsi="Times New Roman"/>
                <w:sz w:val="12"/>
                <w:szCs w:val="12"/>
              </w:rPr>
            </w:pPr>
          </w:p>
        </w:tc>
      </w:tr>
      <w:tr w:rsidR="00872005">
        <w:trPr>
          <w:trHeight w:val="164"/>
        </w:trPr>
        <w:tc>
          <w:tcPr>
            <w:tcW w:w="3273" w:type="dxa"/>
            <w:vAlign w:val="center"/>
          </w:tcPr>
          <w:p w:rsidR="00EE7251" w:rsidRDefault="007270C2">
            <w:pPr>
              <w:rPr>
                <w:rFonts w:ascii="Times New Roman" w:hAnsi="Times New Roman"/>
                <w:b/>
                <w:sz w:val="12"/>
                <w:szCs w:val="12"/>
              </w:rPr>
            </w:pPr>
            <w:r>
              <w:rPr>
                <w:rFonts w:ascii="Times New Roman" w:hAnsi="Times New Roman"/>
                <w:b/>
                <w:sz w:val="12"/>
                <w:szCs w:val="12"/>
              </w:rPr>
              <w:t>TRAMADOL (TRA 100)</w:t>
            </w:r>
          </w:p>
        </w:tc>
        <w:tc>
          <w:tcPr>
            <w:tcW w:w="1507" w:type="dxa"/>
            <w:vAlign w:val="center"/>
          </w:tcPr>
          <w:p w:rsidR="00EE7251" w:rsidRDefault="00EE7251">
            <w:pPr>
              <w:rPr>
                <w:rFonts w:ascii="Times New Roman" w:hAnsi="Times New Roman"/>
                <w:sz w:val="12"/>
                <w:szCs w:val="12"/>
              </w:rPr>
            </w:pP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Tramadol</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100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N-desmethyl-tramadol</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250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O-desmethyl-tramadol</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10 000</w:t>
            </w:r>
          </w:p>
        </w:tc>
      </w:tr>
      <w:tr w:rsidR="00872005">
        <w:trPr>
          <w:trHeight w:val="164"/>
        </w:trPr>
        <w:tc>
          <w:tcPr>
            <w:tcW w:w="3273" w:type="dxa"/>
            <w:vAlign w:val="center"/>
          </w:tcPr>
          <w:p w:rsidR="00EE7251" w:rsidRDefault="00EE7251">
            <w:pPr>
              <w:rPr>
                <w:rFonts w:ascii="Times New Roman" w:hAnsi="Times New Roman"/>
                <w:b/>
                <w:sz w:val="12"/>
                <w:szCs w:val="12"/>
              </w:rPr>
            </w:pPr>
          </w:p>
        </w:tc>
        <w:tc>
          <w:tcPr>
            <w:tcW w:w="1507" w:type="dxa"/>
            <w:vAlign w:val="center"/>
          </w:tcPr>
          <w:p w:rsidR="00EE7251" w:rsidRDefault="00EE7251">
            <w:pPr>
              <w:rPr>
                <w:rFonts w:ascii="Times New Roman" w:hAnsi="Times New Roman"/>
                <w:sz w:val="12"/>
                <w:szCs w:val="12"/>
              </w:rPr>
            </w:pPr>
          </w:p>
        </w:tc>
      </w:tr>
      <w:tr w:rsidR="00872005">
        <w:trPr>
          <w:trHeight w:val="164"/>
        </w:trPr>
        <w:tc>
          <w:tcPr>
            <w:tcW w:w="3273" w:type="dxa"/>
            <w:vAlign w:val="center"/>
          </w:tcPr>
          <w:p w:rsidR="00EE7251" w:rsidRDefault="007270C2">
            <w:pPr>
              <w:rPr>
                <w:rFonts w:ascii="Times New Roman" w:hAnsi="Times New Roman"/>
                <w:b/>
                <w:sz w:val="12"/>
                <w:szCs w:val="12"/>
              </w:rPr>
            </w:pPr>
            <w:r>
              <w:rPr>
                <w:rFonts w:ascii="Times New Roman" w:hAnsi="Times New Roman"/>
                <w:b/>
                <w:sz w:val="12"/>
                <w:szCs w:val="12"/>
              </w:rPr>
              <w:t>TRICYKLICKÁ ANTIDEPRESIVA (TCA)</w:t>
            </w:r>
          </w:p>
        </w:tc>
        <w:tc>
          <w:tcPr>
            <w:tcW w:w="1507" w:type="dxa"/>
            <w:vAlign w:val="center"/>
          </w:tcPr>
          <w:p w:rsidR="00EE7251" w:rsidRDefault="00EE7251">
            <w:pPr>
              <w:rPr>
                <w:rFonts w:ascii="Times New Roman" w:hAnsi="Times New Roman"/>
                <w:sz w:val="12"/>
                <w:szCs w:val="12"/>
              </w:rPr>
            </w:pP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Nortriptylin</w:t>
            </w:r>
          </w:p>
        </w:tc>
        <w:tc>
          <w:tcPr>
            <w:tcW w:w="1507" w:type="dxa"/>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1 000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Amitriptylin</w:t>
            </w:r>
          </w:p>
        </w:tc>
        <w:tc>
          <w:tcPr>
            <w:tcW w:w="1507" w:type="dxa"/>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1 500</w:t>
            </w:r>
          </w:p>
        </w:tc>
      </w:tr>
      <w:tr w:rsidR="00872005">
        <w:trPr>
          <w:trHeight w:val="164"/>
        </w:trPr>
        <w:tc>
          <w:tcPr>
            <w:tcW w:w="3273" w:type="dxa"/>
            <w:vAlign w:val="center"/>
          </w:tcPr>
          <w:p w:rsidR="00EE7251" w:rsidRDefault="007270C2">
            <w:pPr>
              <w:rPr>
                <w:rFonts w:ascii="Times New Roman" w:hAnsi="Times New Roman"/>
                <w:sz w:val="12"/>
                <w:szCs w:val="12"/>
              </w:rPr>
            </w:pPr>
            <w:r>
              <w:rPr>
                <w:rFonts w:ascii="Times New Roman" w:hAnsi="Times New Roman"/>
                <w:sz w:val="12"/>
                <w:szCs w:val="12"/>
              </w:rPr>
              <w:t>Klomipramin</w:t>
            </w:r>
          </w:p>
        </w:tc>
        <w:tc>
          <w:tcPr>
            <w:tcW w:w="1507" w:type="dxa"/>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50 000</w:t>
            </w:r>
          </w:p>
        </w:tc>
      </w:tr>
      <w:tr w:rsidR="00872005">
        <w:trPr>
          <w:trHeight w:val="164"/>
        </w:trPr>
        <w:tc>
          <w:tcPr>
            <w:tcW w:w="3273" w:type="dxa"/>
            <w:vAlign w:val="center"/>
          </w:tcPr>
          <w:p w:rsidR="00EE7251" w:rsidRDefault="007270C2">
            <w:pPr>
              <w:rPr>
                <w:rFonts w:ascii="Times New Roman" w:hAnsi="Times New Roman"/>
                <w:kern w:val="0"/>
                <w:sz w:val="12"/>
                <w:szCs w:val="12"/>
              </w:rPr>
            </w:pPr>
            <w:r>
              <w:rPr>
                <w:rFonts w:ascii="Times New Roman" w:hAnsi="Times New Roman"/>
                <w:sz w:val="12"/>
                <w:szCs w:val="12"/>
              </w:rPr>
              <w:t>Desipramin</w:t>
            </w:r>
          </w:p>
        </w:tc>
        <w:tc>
          <w:tcPr>
            <w:tcW w:w="1507" w:type="dxa"/>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5 000</w:t>
            </w:r>
          </w:p>
        </w:tc>
      </w:tr>
      <w:tr w:rsidR="00872005">
        <w:trPr>
          <w:trHeight w:val="164"/>
        </w:trPr>
        <w:tc>
          <w:tcPr>
            <w:tcW w:w="3273" w:type="dxa"/>
            <w:vAlign w:val="center"/>
          </w:tcPr>
          <w:p w:rsidR="00EE7251" w:rsidRDefault="007270C2">
            <w:pPr>
              <w:rPr>
                <w:rFonts w:ascii="Times New Roman" w:hAnsi="Times New Roman"/>
                <w:kern w:val="0"/>
                <w:sz w:val="12"/>
                <w:szCs w:val="12"/>
              </w:rPr>
            </w:pPr>
            <w:r>
              <w:rPr>
                <w:rFonts w:ascii="Times New Roman" w:hAnsi="Times New Roman"/>
                <w:sz w:val="12"/>
                <w:szCs w:val="12"/>
              </w:rPr>
              <w:t>Doxepin</w:t>
            </w:r>
          </w:p>
        </w:tc>
        <w:tc>
          <w:tcPr>
            <w:tcW w:w="1507" w:type="dxa"/>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10 000</w:t>
            </w:r>
          </w:p>
        </w:tc>
      </w:tr>
      <w:tr w:rsidR="00872005">
        <w:trPr>
          <w:trHeight w:val="164"/>
        </w:trPr>
        <w:tc>
          <w:tcPr>
            <w:tcW w:w="3273" w:type="dxa"/>
            <w:vAlign w:val="center"/>
          </w:tcPr>
          <w:p w:rsidR="00EE7251" w:rsidRDefault="007270C2">
            <w:pPr>
              <w:rPr>
                <w:rFonts w:ascii="Times New Roman" w:hAnsi="Times New Roman"/>
                <w:kern w:val="0"/>
                <w:sz w:val="12"/>
                <w:szCs w:val="12"/>
              </w:rPr>
            </w:pPr>
            <w:r>
              <w:rPr>
                <w:rFonts w:ascii="Times New Roman" w:hAnsi="Times New Roman"/>
                <w:sz w:val="12"/>
                <w:szCs w:val="12"/>
              </w:rPr>
              <w:t>Imipramin</w:t>
            </w:r>
          </w:p>
        </w:tc>
        <w:tc>
          <w:tcPr>
            <w:tcW w:w="1507" w:type="dxa"/>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10 000</w:t>
            </w:r>
          </w:p>
        </w:tc>
      </w:tr>
      <w:tr w:rsidR="00872005">
        <w:trPr>
          <w:trHeight w:val="164"/>
        </w:trPr>
        <w:tc>
          <w:tcPr>
            <w:tcW w:w="3273" w:type="dxa"/>
            <w:vAlign w:val="center"/>
          </w:tcPr>
          <w:p w:rsidR="00EE7251" w:rsidRDefault="007270C2">
            <w:pPr>
              <w:rPr>
                <w:rFonts w:ascii="Times New Roman" w:hAnsi="Times New Roman"/>
                <w:kern w:val="0"/>
                <w:sz w:val="12"/>
                <w:szCs w:val="12"/>
              </w:rPr>
            </w:pPr>
            <w:r>
              <w:rPr>
                <w:rFonts w:ascii="Times New Roman" w:hAnsi="Times New Roman"/>
                <w:sz w:val="12"/>
                <w:szCs w:val="12"/>
              </w:rPr>
              <w:t>Maprotilin</w:t>
            </w:r>
          </w:p>
        </w:tc>
        <w:tc>
          <w:tcPr>
            <w:tcW w:w="1507" w:type="dxa"/>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100 000</w:t>
            </w:r>
          </w:p>
        </w:tc>
      </w:tr>
      <w:tr w:rsidR="00872005">
        <w:trPr>
          <w:trHeight w:val="164"/>
        </w:trPr>
        <w:tc>
          <w:tcPr>
            <w:tcW w:w="3273" w:type="dxa"/>
            <w:vAlign w:val="center"/>
          </w:tcPr>
          <w:p w:rsidR="00EE7251" w:rsidRDefault="007270C2">
            <w:pPr>
              <w:autoSpaceDE w:val="0"/>
              <w:autoSpaceDN w:val="0"/>
              <w:adjustRightInd w:val="0"/>
              <w:rPr>
                <w:rFonts w:ascii="Times New Roman" w:hAnsi="Times New Roman"/>
                <w:kern w:val="0"/>
                <w:sz w:val="12"/>
                <w:szCs w:val="12"/>
              </w:rPr>
            </w:pPr>
            <w:r>
              <w:rPr>
                <w:rFonts w:ascii="Times New Roman" w:hAnsi="Times New Roman"/>
                <w:sz w:val="12"/>
                <w:szCs w:val="12"/>
              </w:rPr>
              <w:t>Nordoxepin</w:t>
            </w:r>
          </w:p>
        </w:tc>
        <w:tc>
          <w:tcPr>
            <w:tcW w:w="1507" w:type="dxa"/>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10 000</w:t>
            </w:r>
          </w:p>
        </w:tc>
      </w:tr>
      <w:tr w:rsidR="00872005">
        <w:trPr>
          <w:trHeight w:val="164"/>
        </w:trPr>
        <w:tc>
          <w:tcPr>
            <w:tcW w:w="3273" w:type="dxa"/>
            <w:vAlign w:val="center"/>
          </w:tcPr>
          <w:p w:rsidR="00EE7251" w:rsidRDefault="007270C2">
            <w:pPr>
              <w:autoSpaceDE w:val="0"/>
              <w:autoSpaceDN w:val="0"/>
              <w:adjustRightInd w:val="0"/>
              <w:rPr>
                <w:rFonts w:ascii="Times New Roman" w:hAnsi="Times New Roman"/>
                <w:kern w:val="0"/>
                <w:sz w:val="12"/>
                <w:szCs w:val="12"/>
              </w:rPr>
            </w:pPr>
            <w:r>
              <w:rPr>
                <w:rFonts w:ascii="Times New Roman" w:hAnsi="Times New Roman"/>
                <w:sz w:val="12"/>
                <w:szCs w:val="12"/>
              </w:rPr>
              <w:t>Promazin</w:t>
            </w:r>
          </w:p>
        </w:tc>
        <w:tc>
          <w:tcPr>
            <w:tcW w:w="1507" w:type="dxa"/>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50 000</w:t>
            </w:r>
          </w:p>
        </w:tc>
      </w:tr>
      <w:tr w:rsidR="00872005">
        <w:trPr>
          <w:trHeight w:val="164"/>
        </w:trPr>
        <w:tc>
          <w:tcPr>
            <w:tcW w:w="3273" w:type="dxa"/>
            <w:vAlign w:val="center"/>
          </w:tcPr>
          <w:p w:rsidR="00EE7251" w:rsidRDefault="007270C2">
            <w:pPr>
              <w:autoSpaceDE w:val="0"/>
              <w:autoSpaceDN w:val="0"/>
              <w:adjustRightInd w:val="0"/>
              <w:rPr>
                <w:rFonts w:ascii="Times New Roman" w:hAnsi="Times New Roman"/>
                <w:kern w:val="0"/>
                <w:sz w:val="12"/>
                <w:szCs w:val="12"/>
              </w:rPr>
            </w:pPr>
            <w:r>
              <w:rPr>
                <w:rFonts w:ascii="Times New Roman" w:hAnsi="Times New Roman"/>
                <w:sz w:val="12"/>
                <w:szCs w:val="12"/>
              </w:rPr>
              <w:t>Prometazin</w:t>
            </w:r>
          </w:p>
        </w:tc>
        <w:tc>
          <w:tcPr>
            <w:tcW w:w="1507" w:type="dxa"/>
            <w:vAlign w:val="center"/>
          </w:tcPr>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2 500</w:t>
            </w:r>
          </w:p>
        </w:tc>
      </w:tr>
      <w:tr w:rsidR="00872005">
        <w:trPr>
          <w:trHeight w:val="164"/>
        </w:trPr>
        <w:tc>
          <w:tcPr>
            <w:tcW w:w="3273" w:type="dxa"/>
            <w:vAlign w:val="center"/>
          </w:tcPr>
          <w:p w:rsidR="00EE7251" w:rsidRDefault="007270C2">
            <w:pPr>
              <w:rPr>
                <w:rFonts w:ascii="Times New Roman" w:hAnsi="Times New Roman"/>
                <w:kern w:val="0"/>
                <w:sz w:val="12"/>
                <w:szCs w:val="12"/>
              </w:rPr>
            </w:pPr>
            <w:r>
              <w:rPr>
                <w:rFonts w:ascii="Times New Roman" w:hAnsi="Times New Roman"/>
                <w:sz w:val="12"/>
                <w:szCs w:val="12"/>
              </w:rPr>
              <w:t>Trimipramin</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50 000</w:t>
            </w:r>
          </w:p>
        </w:tc>
      </w:tr>
      <w:tr w:rsidR="00872005">
        <w:trPr>
          <w:trHeight w:val="164"/>
        </w:trPr>
        <w:tc>
          <w:tcPr>
            <w:tcW w:w="3273" w:type="dxa"/>
            <w:vAlign w:val="center"/>
          </w:tcPr>
          <w:p w:rsidR="00EE7251" w:rsidRDefault="007270C2">
            <w:pPr>
              <w:rPr>
                <w:rFonts w:ascii="Times New Roman" w:hAnsi="Times New Roman"/>
                <w:kern w:val="0"/>
                <w:sz w:val="12"/>
                <w:szCs w:val="12"/>
              </w:rPr>
            </w:pPr>
            <w:r>
              <w:rPr>
                <w:rFonts w:ascii="Times New Roman" w:hAnsi="Times New Roman"/>
                <w:sz w:val="12"/>
                <w:szCs w:val="12"/>
              </w:rPr>
              <w:t>Hydrochlorid cyklobenzaprinu</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5 000</w:t>
            </w:r>
          </w:p>
        </w:tc>
      </w:tr>
      <w:tr w:rsidR="00872005">
        <w:trPr>
          <w:trHeight w:val="164"/>
        </w:trPr>
        <w:tc>
          <w:tcPr>
            <w:tcW w:w="3273" w:type="dxa"/>
            <w:vAlign w:val="center"/>
          </w:tcPr>
          <w:p w:rsidR="00EE7251" w:rsidRDefault="007270C2">
            <w:pPr>
              <w:rPr>
                <w:rFonts w:ascii="Times New Roman" w:hAnsi="Times New Roman"/>
                <w:kern w:val="0"/>
                <w:sz w:val="12"/>
                <w:szCs w:val="12"/>
              </w:rPr>
            </w:pPr>
            <w:r>
              <w:rPr>
                <w:rFonts w:ascii="Times New Roman" w:hAnsi="Times New Roman"/>
                <w:sz w:val="12"/>
                <w:szCs w:val="12"/>
              </w:rPr>
              <w:t>Norclomipramin</w:t>
            </w:r>
          </w:p>
        </w:tc>
        <w:tc>
          <w:tcPr>
            <w:tcW w:w="1507" w:type="dxa"/>
            <w:vAlign w:val="center"/>
          </w:tcPr>
          <w:p w:rsidR="00EE7251" w:rsidRDefault="007270C2">
            <w:pPr>
              <w:rPr>
                <w:rFonts w:ascii="Times New Roman" w:hAnsi="Times New Roman"/>
                <w:sz w:val="12"/>
                <w:szCs w:val="12"/>
              </w:rPr>
            </w:pPr>
            <w:r>
              <w:rPr>
                <w:rFonts w:ascii="Times New Roman" w:hAnsi="Times New Roman"/>
                <w:sz w:val="12"/>
                <w:szCs w:val="12"/>
              </w:rPr>
              <w:t>50 000</w:t>
            </w:r>
          </w:p>
        </w:tc>
      </w:tr>
      <w:tr w:rsidR="00872005">
        <w:trPr>
          <w:trHeight w:val="164"/>
        </w:trPr>
        <w:tc>
          <w:tcPr>
            <w:tcW w:w="3273" w:type="dxa"/>
            <w:vAlign w:val="center"/>
          </w:tcPr>
          <w:p w:rsidR="00F06C6A" w:rsidRDefault="00F06C6A">
            <w:pPr>
              <w:rPr>
                <w:rFonts w:ascii="Times New Roman" w:hAnsi="Times New Roman"/>
                <w:sz w:val="12"/>
                <w:szCs w:val="12"/>
              </w:rPr>
            </w:pPr>
          </w:p>
        </w:tc>
        <w:tc>
          <w:tcPr>
            <w:tcW w:w="1507" w:type="dxa"/>
            <w:vAlign w:val="center"/>
          </w:tcPr>
          <w:p w:rsidR="00F06C6A" w:rsidRDefault="00F06C6A">
            <w:pPr>
              <w:rPr>
                <w:rFonts w:ascii="Times New Roman" w:hAnsi="Times New Roman"/>
                <w:sz w:val="12"/>
                <w:szCs w:val="12"/>
              </w:rPr>
            </w:pPr>
          </w:p>
        </w:tc>
      </w:tr>
      <w:tr w:rsidR="00872005">
        <w:trPr>
          <w:trHeight w:val="164"/>
        </w:trPr>
        <w:tc>
          <w:tcPr>
            <w:tcW w:w="3273" w:type="dxa"/>
            <w:vAlign w:val="center"/>
          </w:tcPr>
          <w:p w:rsidR="00F06C6A" w:rsidRPr="0040799C" w:rsidRDefault="007270C2" w:rsidP="00F06C6A">
            <w:pPr>
              <w:rPr>
                <w:rFonts w:ascii="Times New Roman" w:hAnsi="Times New Roman"/>
                <w:sz w:val="12"/>
                <w:szCs w:val="12"/>
              </w:rPr>
            </w:pPr>
            <w:r w:rsidRPr="0040799C">
              <w:rPr>
                <w:rFonts w:ascii="Times New Roman" w:hAnsi="Times New Roman"/>
                <w:b/>
                <w:caps/>
                <w:sz w:val="12"/>
                <w:szCs w:val="12"/>
              </w:rPr>
              <w:t>Zolpidem (ZOL)</w:t>
            </w:r>
          </w:p>
        </w:tc>
        <w:tc>
          <w:tcPr>
            <w:tcW w:w="1507" w:type="dxa"/>
            <w:vAlign w:val="center"/>
          </w:tcPr>
          <w:p w:rsidR="00F06C6A" w:rsidRPr="0040799C" w:rsidRDefault="00F06C6A" w:rsidP="00F06C6A">
            <w:pPr>
              <w:rPr>
                <w:rFonts w:ascii="Times New Roman" w:hAnsi="Times New Roman"/>
                <w:sz w:val="12"/>
                <w:szCs w:val="12"/>
              </w:rPr>
            </w:pPr>
          </w:p>
        </w:tc>
      </w:tr>
      <w:tr w:rsidR="00872005">
        <w:trPr>
          <w:trHeight w:val="164"/>
        </w:trPr>
        <w:tc>
          <w:tcPr>
            <w:tcW w:w="3273" w:type="dxa"/>
            <w:vAlign w:val="center"/>
          </w:tcPr>
          <w:p w:rsidR="00F06C6A" w:rsidRPr="0040799C" w:rsidRDefault="007270C2" w:rsidP="00F06C6A">
            <w:pPr>
              <w:rPr>
                <w:rFonts w:ascii="Times New Roman" w:hAnsi="Times New Roman"/>
                <w:sz w:val="12"/>
                <w:szCs w:val="12"/>
              </w:rPr>
            </w:pPr>
            <w:r w:rsidRPr="0040799C">
              <w:rPr>
                <w:rFonts w:ascii="Times New Roman" w:hAnsi="Times New Roman" w:hint="eastAsia"/>
                <w:sz w:val="12"/>
                <w:szCs w:val="12"/>
              </w:rPr>
              <w:t>Zolpidem</w:t>
            </w:r>
          </w:p>
        </w:tc>
        <w:tc>
          <w:tcPr>
            <w:tcW w:w="1507" w:type="dxa"/>
            <w:vAlign w:val="center"/>
          </w:tcPr>
          <w:p w:rsidR="00F06C6A" w:rsidRPr="0040799C" w:rsidRDefault="007270C2" w:rsidP="00F06C6A">
            <w:pPr>
              <w:rPr>
                <w:rFonts w:ascii="Times New Roman" w:hAnsi="Times New Roman"/>
                <w:sz w:val="12"/>
                <w:szCs w:val="12"/>
              </w:rPr>
            </w:pPr>
            <w:r w:rsidRPr="0040799C">
              <w:rPr>
                <w:rFonts w:ascii="Times New Roman" w:hAnsi="Times New Roman"/>
                <w:sz w:val="12"/>
                <w:szCs w:val="12"/>
              </w:rPr>
              <w:t>50</w:t>
            </w:r>
          </w:p>
        </w:tc>
      </w:tr>
    </w:tbl>
    <w:p w:rsidR="00EE7251" w:rsidRDefault="00EE7251">
      <w:pPr>
        <w:spacing w:line="20" w:lineRule="exact"/>
        <w:rPr>
          <w:rFonts w:ascii="Times New Roman" w:hAnsi="Times New Roman"/>
          <w:kern w:val="0"/>
          <w:sz w:val="12"/>
          <w:szCs w:val="12"/>
        </w:rPr>
      </w:pPr>
    </w:p>
    <w:p w:rsidR="00EE7251" w:rsidRDefault="007270C2">
      <w:pPr>
        <w:pStyle w:val="Heading8"/>
        <w:spacing w:before="80" w:after="80" w:line="0" w:lineRule="atLeast"/>
        <w:rPr>
          <w:rFonts w:ascii="Times New Roman" w:hAnsi="Times New Roman"/>
          <w:sz w:val="12"/>
          <w:szCs w:val="12"/>
          <w:highlight w:val="black"/>
        </w:rPr>
      </w:pPr>
      <w:r>
        <w:rPr>
          <w:rFonts w:ascii="Times New Roman" w:hAnsi="Times New Roman"/>
          <w:sz w:val="12"/>
          <w:szCs w:val="12"/>
          <w:highlight w:val="black"/>
        </w:rPr>
        <w:t>Přesnost</w:t>
      </w:r>
    </w:p>
    <w:p w:rsidR="00EE7251" w:rsidRDefault="007270C2">
      <w:pPr>
        <w:autoSpaceDE w:val="0"/>
        <w:autoSpaceDN w:val="0"/>
        <w:adjustRightInd w:val="0"/>
        <w:rPr>
          <w:rFonts w:ascii="Times New Roman" w:hAnsi="Times New Roman"/>
          <w:sz w:val="12"/>
          <w:szCs w:val="12"/>
        </w:rPr>
      </w:pPr>
      <w:r>
        <w:rPr>
          <w:rFonts w:ascii="Times New Roman" w:hAnsi="Times New Roman"/>
          <w:sz w:val="12"/>
          <w:szCs w:val="12"/>
        </w:rPr>
        <w:t>Tato studie se provádí 2krát denně a trvá 25 dní pro každý formát se třemi šaržemi. Studie se účastní tři operátoři, kteří neznají systém číslování vzorků. Každý z těchto 3 operátorů testuje 2 alikvoty v každé koncentraci pro každou šarži denně (2krát denně). Každý operátor provedl celkem 50 stanovení v každé koncentraci. Výsledky jsou uvedeny níže:</w:t>
      </w:r>
    </w:p>
    <w:p w:rsidR="00EE7251" w:rsidRDefault="00EE7251">
      <w:pPr>
        <w:autoSpaceDE w:val="0"/>
        <w:autoSpaceDN w:val="0"/>
        <w:adjustRightInd w:val="0"/>
        <w:rPr>
          <w:rFonts w:ascii="Times New Roman" w:hAnsi="Times New Roman"/>
          <w:sz w:val="12"/>
          <w:szCs w:val="1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69"/>
        <w:gridCol w:w="251"/>
        <w:gridCol w:w="253"/>
        <w:gridCol w:w="251"/>
        <w:gridCol w:w="254"/>
        <w:gridCol w:w="251"/>
        <w:gridCol w:w="252"/>
        <w:gridCol w:w="250"/>
        <w:gridCol w:w="252"/>
        <w:gridCol w:w="250"/>
        <w:gridCol w:w="252"/>
        <w:gridCol w:w="250"/>
        <w:gridCol w:w="253"/>
        <w:gridCol w:w="251"/>
        <w:gridCol w:w="252"/>
        <w:gridCol w:w="251"/>
        <w:gridCol w:w="237"/>
      </w:tblGrid>
      <w:tr w:rsidR="00872005" w:rsidTr="006239F1">
        <w:trPr>
          <w:trHeight w:val="159"/>
          <w:jc w:val="center"/>
        </w:trPr>
        <w:tc>
          <w:tcPr>
            <w:tcW w:w="869" w:type="dxa"/>
            <w:vMerge w:val="restart"/>
            <w:vAlign w:val="center"/>
          </w:tcPr>
          <w:p w:rsidR="00ED79DB" w:rsidRPr="00060D89" w:rsidRDefault="007270C2"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 xml:space="preserve">Koncentrace léčiva </w:t>
            </w:r>
          </w:p>
          <w:p w:rsidR="00ED79DB" w:rsidRPr="00060D89" w:rsidRDefault="007270C2"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SimSun" w:hAnsi="Times New Roman"/>
                <w:b/>
                <w:color w:val="000000"/>
                <w:spacing w:val="0"/>
                <w:sz w:val="12"/>
                <w:szCs w:val="12"/>
              </w:rPr>
            </w:pPr>
            <w:r w:rsidRPr="00060D89">
              <w:rPr>
                <w:rFonts w:ascii="Times New Roman" w:eastAsia="Times New Roman" w:hAnsi="Times New Roman"/>
                <w:b/>
                <w:color w:val="000000"/>
                <w:spacing w:val="0"/>
                <w:sz w:val="12"/>
                <w:szCs w:val="12"/>
              </w:rPr>
              <w:t>(Rozmezí cut-off)</w:t>
            </w:r>
          </w:p>
        </w:tc>
        <w:tc>
          <w:tcPr>
            <w:tcW w:w="504" w:type="dxa"/>
            <w:gridSpan w:val="2"/>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ACE</w:t>
            </w:r>
          </w:p>
        </w:tc>
        <w:tc>
          <w:tcPr>
            <w:tcW w:w="505" w:type="dxa"/>
            <w:gridSpan w:val="2"/>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AMP</w:t>
            </w:r>
          </w:p>
        </w:tc>
        <w:tc>
          <w:tcPr>
            <w:tcW w:w="503" w:type="dxa"/>
            <w:gridSpan w:val="2"/>
            <w:vAlign w:val="center"/>
          </w:tcPr>
          <w:p w:rsidR="00ED79DB" w:rsidRPr="00060D89" w:rsidRDefault="007270C2" w:rsidP="006239F1">
            <w:pPr>
              <w:spacing w:beforeLines="10" w:before="24" w:afterLines="10" w:after="24" w:line="0" w:lineRule="atLeast"/>
              <w:jc w:val="center"/>
              <w:rPr>
                <w:rFonts w:ascii="Times New Roman" w:hAnsi="Times New Roman"/>
                <w:b/>
                <w:color w:val="000000"/>
                <w:spacing w:val="-2"/>
                <w:sz w:val="12"/>
                <w:szCs w:val="12"/>
              </w:rPr>
            </w:pPr>
            <w:r w:rsidRPr="00060D89">
              <w:rPr>
                <w:rFonts w:ascii="Times New Roman" w:hAnsi="Times New Roman"/>
                <w:b/>
                <w:color w:val="000000"/>
                <w:spacing w:val="-2"/>
                <w:sz w:val="12"/>
                <w:szCs w:val="12"/>
              </w:rPr>
              <w:t>AMP 500</w:t>
            </w:r>
          </w:p>
        </w:tc>
        <w:tc>
          <w:tcPr>
            <w:tcW w:w="502" w:type="dxa"/>
            <w:gridSpan w:val="2"/>
            <w:vAlign w:val="center"/>
          </w:tcPr>
          <w:p w:rsidR="00ED79DB" w:rsidRPr="00060D89" w:rsidRDefault="007270C2" w:rsidP="006239F1">
            <w:pPr>
              <w:spacing w:beforeLines="10" w:before="24" w:afterLines="10" w:after="24" w:line="0" w:lineRule="atLeast"/>
              <w:jc w:val="center"/>
              <w:rPr>
                <w:rFonts w:ascii="Times New Roman" w:hAnsi="Times New Roman"/>
                <w:b/>
                <w:color w:val="000000"/>
                <w:spacing w:val="-2"/>
                <w:sz w:val="12"/>
                <w:szCs w:val="12"/>
              </w:rPr>
            </w:pPr>
            <w:r w:rsidRPr="00060D89">
              <w:rPr>
                <w:rFonts w:ascii="Times New Roman" w:hAnsi="Times New Roman"/>
                <w:b/>
                <w:color w:val="000000"/>
                <w:spacing w:val="-2"/>
                <w:sz w:val="12"/>
                <w:szCs w:val="12"/>
              </w:rPr>
              <w:t>AMP 300</w:t>
            </w:r>
          </w:p>
        </w:tc>
        <w:tc>
          <w:tcPr>
            <w:tcW w:w="502" w:type="dxa"/>
            <w:gridSpan w:val="2"/>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BAR</w:t>
            </w:r>
          </w:p>
        </w:tc>
        <w:tc>
          <w:tcPr>
            <w:tcW w:w="503" w:type="dxa"/>
            <w:gridSpan w:val="2"/>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BAR 200</w:t>
            </w:r>
          </w:p>
        </w:tc>
        <w:tc>
          <w:tcPr>
            <w:tcW w:w="503" w:type="dxa"/>
            <w:gridSpan w:val="2"/>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BUP</w:t>
            </w:r>
          </w:p>
        </w:tc>
        <w:tc>
          <w:tcPr>
            <w:tcW w:w="488" w:type="dxa"/>
            <w:gridSpan w:val="2"/>
            <w:vAlign w:val="center"/>
          </w:tcPr>
          <w:p w:rsidR="00ED79DB" w:rsidRPr="00060D89" w:rsidRDefault="007270C2" w:rsidP="006239F1">
            <w:pPr>
              <w:spacing w:beforeLines="10" w:before="24" w:afterLines="10" w:after="24" w:line="0" w:lineRule="atLeast"/>
              <w:jc w:val="center"/>
              <w:rPr>
                <w:rFonts w:ascii="Times New Roman" w:hAnsi="Times New Roman"/>
                <w:b/>
                <w:color w:val="000000"/>
                <w:sz w:val="12"/>
                <w:szCs w:val="12"/>
              </w:rPr>
            </w:pPr>
            <w:r w:rsidRPr="00060D89">
              <w:rPr>
                <w:rFonts w:ascii="Times New Roman" w:hAnsi="Times New Roman"/>
                <w:b/>
                <w:color w:val="000000"/>
                <w:sz w:val="12"/>
                <w:szCs w:val="12"/>
              </w:rPr>
              <w:t>BZO</w:t>
            </w:r>
          </w:p>
        </w:tc>
      </w:tr>
      <w:tr w:rsidR="00872005" w:rsidTr="006239F1">
        <w:trPr>
          <w:trHeight w:val="159"/>
          <w:jc w:val="center"/>
        </w:trPr>
        <w:tc>
          <w:tcPr>
            <w:tcW w:w="869" w:type="dxa"/>
            <w:vMerge/>
            <w:vAlign w:val="center"/>
          </w:tcPr>
          <w:p w:rsidR="00ED79DB" w:rsidRPr="00060D89" w:rsidRDefault="00ED79DB"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Times New Roman" w:hAnsi="Times New Roman"/>
                <w:b/>
                <w:color w:val="000000"/>
                <w:spacing w:val="0"/>
                <w:sz w:val="12"/>
                <w:szCs w:val="12"/>
              </w:rPr>
            </w:pP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3" w:type="dxa"/>
            <w:vAlign w:val="center"/>
          </w:tcPr>
          <w:p w:rsidR="00ED79DB" w:rsidRPr="00060D89" w:rsidRDefault="007270C2"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4" w:type="dxa"/>
            <w:vAlign w:val="center"/>
          </w:tcPr>
          <w:p w:rsidR="00ED79DB" w:rsidRPr="00060D89" w:rsidRDefault="007270C2"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Times New Roman" w:hAnsi="Times New Roman"/>
                <w:bCs/>
                <w:color w:val="000000"/>
                <w:spacing w:val="0"/>
                <w:sz w:val="12"/>
                <w:szCs w:val="12"/>
              </w:rPr>
            </w:pPr>
            <w:r w:rsidRPr="00060D89">
              <w:rPr>
                <w:rFonts w:ascii="Times New Roman" w:eastAsia="Times New Roman" w:hAnsi="Times New Roman"/>
                <w:bCs/>
                <w:color w:val="000000"/>
                <w:spacing w:val="0"/>
                <w:sz w:val="12"/>
                <w:szCs w:val="12"/>
              </w:rPr>
              <w:t>-</w:t>
            </w:r>
          </w:p>
        </w:tc>
        <w:tc>
          <w:tcPr>
            <w:tcW w:w="252" w:type="dxa"/>
            <w:vAlign w:val="center"/>
          </w:tcPr>
          <w:p w:rsidR="00ED79DB" w:rsidRPr="00060D89" w:rsidRDefault="007270C2"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Times New Roman" w:hAnsi="Times New Roman"/>
                <w:bCs/>
                <w:color w:val="000000"/>
                <w:spacing w:val="0"/>
                <w:sz w:val="12"/>
                <w:szCs w:val="12"/>
              </w:rPr>
            </w:pPr>
            <w:r w:rsidRPr="00060D89">
              <w:rPr>
                <w:rFonts w:ascii="Times New Roman" w:eastAsia="Times New Roman" w:hAnsi="Times New Roman"/>
                <w:bCs/>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Times New Roman" w:hAnsi="Times New Roman"/>
                <w:bCs/>
                <w:color w:val="000000"/>
                <w:spacing w:val="0"/>
                <w:sz w:val="12"/>
                <w:szCs w:val="12"/>
              </w:rPr>
            </w:pPr>
            <w:r w:rsidRPr="00060D89">
              <w:rPr>
                <w:rFonts w:ascii="Times New Roman" w:eastAsia="Times New Roman" w:hAnsi="Times New Roman"/>
                <w:bCs/>
                <w:color w:val="000000"/>
                <w:spacing w:val="0"/>
                <w:sz w:val="12"/>
                <w:szCs w:val="12"/>
              </w:rPr>
              <w:t>-</w:t>
            </w:r>
          </w:p>
        </w:tc>
        <w:tc>
          <w:tcPr>
            <w:tcW w:w="252" w:type="dxa"/>
            <w:vAlign w:val="center"/>
          </w:tcPr>
          <w:p w:rsidR="00ED79DB" w:rsidRPr="00060D89" w:rsidRDefault="007270C2"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Times New Roman" w:hAnsi="Times New Roman"/>
                <w:bCs/>
                <w:color w:val="000000"/>
                <w:spacing w:val="0"/>
                <w:sz w:val="12"/>
                <w:szCs w:val="12"/>
              </w:rPr>
            </w:pPr>
            <w:r w:rsidRPr="00060D89">
              <w:rPr>
                <w:rFonts w:ascii="Times New Roman" w:eastAsia="Times New Roman" w:hAnsi="Times New Roman"/>
                <w:bCs/>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2" w:type="dxa"/>
            <w:vAlign w:val="center"/>
          </w:tcPr>
          <w:p w:rsidR="00ED79DB" w:rsidRPr="00060D89" w:rsidRDefault="007270C2"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3" w:type="dxa"/>
            <w:vAlign w:val="center"/>
          </w:tcPr>
          <w:p w:rsidR="00ED79DB" w:rsidRPr="00060D89" w:rsidRDefault="007270C2"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Cs/>
                <w:color w:val="000000"/>
                <w:spacing w:val="0"/>
                <w:sz w:val="12"/>
                <w:szCs w:val="12"/>
              </w:rPr>
              <w:t>-</w:t>
            </w:r>
          </w:p>
        </w:tc>
        <w:tc>
          <w:tcPr>
            <w:tcW w:w="252" w:type="dxa"/>
            <w:vAlign w:val="center"/>
          </w:tcPr>
          <w:p w:rsidR="00ED79DB" w:rsidRPr="00060D89" w:rsidRDefault="007270C2"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Times New Roman" w:hAnsi="Times New Roman"/>
                <w:bCs/>
                <w:color w:val="000000"/>
                <w:spacing w:val="0"/>
                <w:sz w:val="12"/>
                <w:szCs w:val="12"/>
              </w:rPr>
            </w:pPr>
            <w:r w:rsidRPr="00060D89">
              <w:rPr>
                <w:rFonts w:ascii="Times New Roman" w:eastAsia="Times New Roman" w:hAnsi="Times New Roman"/>
                <w:bCs/>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Cs/>
                <w:color w:val="000000"/>
                <w:spacing w:val="0"/>
                <w:sz w:val="12"/>
                <w:szCs w:val="12"/>
              </w:rPr>
              <w:t>-</w:t>
            </w:r>
          </w:p>
        </w:tc>
        <w:tc>
          <w:tcPr>
            <w:tcW w:w="237" w:type="dxa"/>
            <w:vAlign w:val="center"/>
          </w:tcPr>
          <w:p w:rsidR="00ED79DB" w:rsidRPr="00060D89" w:rsidRDefault="007270C2"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Cs/>
                <w:color w:val="000000"/>
                <w:spacing w:val="0"/>
                <w:sz w:val="12"/>
                <w:szCs w:val="12"/>
              </w:rPr>
              <w:t>+</w:t>
            </w:r>
          </w:p>
        </w:tc>
      </w:tr>
      <w:tr w:rsidR="00872005" w:rsidTr="006239F1">
        <w:trPr>
          <w:trHeight w:val="159"/>
          <w:jc w:val="center"/>
        </w:trPr>
        <w:tc>
          <w:tcPr>
            <w:tcW w:w="869"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beforeLines="10" w:before="24" w:afterLines="10" w:after="24" w:line="0" w:lineRule="atLeast"/>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0 % Mezní hodnota</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3"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4"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3"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37"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59"/>
          <w:jc w:val="center"/>
        </w:trPr>
        <w:tc>
          <w:tcPr>
            <w:tcW w:w="869"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beforeLines="10" w:before="24" w:afterLines="10" w:after="24" w:line="0" w:lineRule="atLeast"/>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-75 % Mezní hodnota</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3"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4"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3"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37"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59"/>
          <w:jc w:val="center"/>
        </w:trPr>
        <w:tc>
          <w:tcPr>
            <w:tcW w:w="869"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beforeLines="10" w:before="24" w:afterLines="10" w:after="24" w:line="0" w:lineRule="atLeast"/>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-50 % Mezní hodnota</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3"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4"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3"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37"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59"/>
          <w:jc w:val="center"/>
        </w:trPr>
        <w:tc>
          <w:tcPr>
            <w:tcW w:w="869"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beforeLines="10" w:before="24" w:afterLines="10" w:after="24" w:line="0" w:lineRule="atLeast"/>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-25 % Mezní hodnota</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3"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4"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3"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37"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59"/>
          <w:jc w:val="center"/>
        </w:trPr>
        <w:tc>
          <w:tcPr>
            <w:tcW w:w="869"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beforeLines="10" w:before="24" w:afterLines="10" w:after="24" w:line="0" w:lineRule="atLeast"/>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Hranice</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24</w:t>
            </w:r>
          </w:p>
        </w:tc>
        <w:tc>
          <w:tcPr>
            <w:tcW w:w="253"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26</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20</w:t>
            </w:r>
          </w:p>
        </w:tc>
        <w:tc>
          <w:tcPr>
            <w:tcW w:w="254"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30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30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22</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28</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23</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27</w:t>
            </w:r>
          </w:p>
        </w:tc>
        <w:tc>
          <w:tcPr>
            <w:tcW w:w="250"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23</w:t>
            </w:r>
          </w:p>
        </w:tc>
        <w:tc>
          <w:tcPr>
            <w:tcW w:w="253"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27</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28</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22</w:t>
            </w:r>
          </w:p>
        </w:tc>
        <w:tc>
          <w:tcPr>
            <w:tcW w:w="251"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18</w:t>
            </w:r>
          </w:p>
        </w:tc>
        <w:tc>
          <w:tcPr>
            <w:tcW w:w="237"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32</w:t>
            </w:r>
          </w:p>
        </w:tc>
      </w:tr>
      <w:tr w:rsidR="00872005" w:rsidTr="006239F1">
        <w:trPr>
          <w:trHeight w:val="159"/>
          <w:jc w:val="center"/>
        </w:trPr>
        <w:tc>
          <w:tcPr>
            <w:tcW w:w="869"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beforeLines="10" w:before="24" w:afterLines="10" w:after="24" w:line="0" w:lineRule="atLeast"/>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+25 % Mezní hodnota</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3"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4"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3"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37"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r>
      <w:tr w:rsidR="00872005" w:rsidTr="006239F1">
        <w:trPr>
          <w:trHeight w:val="159"/>
          <w:jc w:val="center"/>
        </w:trPr>
        <w:tc>
          <w:tcPr>
            <w:tcW w:w="869"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beforeLines="10" w:before="24" w:afterLines="10" w:after="24" w:line="0" w:lineRule="atLeast"/>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+50 % Mezní hodnota</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3"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4"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3"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37"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r>
      <w:tr w:rsidR="00872005" w:rsidTr="006239F1">
        <w:trPr>
          <w:trHeight w:val="159"/>
          <w:jc w:val="center"/>
        </w:trPr>
        <w:tc>
          <w:tcPr>
            <w:tcW w:w="869"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beforeLines="10" w:before="24" w:afterLines="10" w:after="24" w:line="0" w:lineRule="atLeast"/>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+75 % Mezní hodnota</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3"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4"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3"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37"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r>
      <w:tr w:rsidR="00872005" w:rsidTr="006239F1">
        <w:trPr>
          <w:trHeight w:val="159"/>
          <w:jc w:val="center"/>
        </w:trPr>
        <w:tc>
          <w:tcPr>
            <w:tcW w:w="869" w:type="dxa"/>
            <w:tcBorders>
              <w:bottom w:val="single" w:sz="4" w:space="0" w:color="auto"/>
            </w:tcBorders>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beforeLines="10" w:before="24" w:afterLines="10" w:after="24" w:line="0" w:lineRule="atLeast"/>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+100 % Mezní hodnota</w:t>
            </w:r>
          </w:p>
        </w:tc>
        <w:tc>
          <w:tcPr>
            <w:tcW w:w="251" w:type="dxa"/>
            <w:tcBorders>
              <w:bottom w:val="single" w:sz="4" w:space="0" w:color="auto"/>
            </w:tcBorders>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3" w:type="dxa"/>
            <w:tcBorders>
              <w:bottom w:val="single" w:sz="4" w:space="0" w:color="auto"/>
            </w:tcBorders>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tcBorders>
              <w:bottom w:val="single" w:sz="4" w:space="0" w:color="auto"/>
            </w:tcBorders>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4" w:type="dxa"/>
            <w:tcBorders>
              <w:bottom w:val="single" w:sz="4" w:space="0" w:color="auto"/>
            </w:tcBorders>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tcBorders>
              <w:bottom w:val="single" w:sz="4" w:space="0" w:color="auto"/>
            </w:tcBorders>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tcBorders>
              <w:bottom w:val="single" w:sz="4" w:space="0" w:color="auto"/>
            </w:tcBorders>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tcBorders>
              <w:bottom w:val="single" w:sz="4" w:space="0" w:color="auto"/>
            </w:tcBorders>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tcBorders>
              <w:bottom w:val="single" w:sz="4" w:space="0" w:color="auto"/>
            </w:tcBorders>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tcBorders>
              <w:bottom w:val="single" w:sz="4" w:space="0" w:color="auto"/>
            </w:tcBorders>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tcBorders>
              <w:bottom w:val="single" w:sz="4" w:space="0" w:color="auto"/>
            </w:tcBorders>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tcBorders>
              <w:bottom w:val="single" w:sz="4" w:space="0" w:color="auto"/>
            </w:tcBorders>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3" w:type="dxa"/>
            <w:tcBorders>
              <w:bottom w:val="single" w:sz="4" w:space="0" w:color="auto"/>
            </w:tcBorders>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tcBorders>
              <w:bottom w:val="single" w:sz="4" w:space="0" w:color="auto"/>
            </w:tcBorders>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tcBorders>
              <w:bottom w:val="single" w:sz="4" w:space="0" w:color="auto"/>
            </w:tcBorders>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tcBorders>
              <w:bottom w:val="single" w:sz="4" w:space="0" w:color="auto"/>
            </w:tcBorders>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37" w:type="dxa"/>
            <w:tcBorders>
              <w:bottom w:val="single" w:sz="4" w:space="0" w:color="auto"/>
            </w:tcBorders>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r>
    </w:tbl>
    <w:p w:rsidR="00ED79DB" w:rsidRPr="00060D89" w:rsidRDefault="00ED79DB" w:rsidP="00ED79DB">
      <w:pPr>
        <w:spacing w:line="60" w:lineRule="exact"/>
        <w:rPr>
          <w:rFonts w:ascii="Times New Roman" w:hAnsi="Times New Roman"/>
          <w:color w:val="000000"/>
          <w:sz w:val="12"/>
          <w:szCs w:val="1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71"/>
        <w:gridCol w:w="249"/>
        <w:gridCol w:w="251"/>
        <w:gridCol w:w="250"/>
        <w:gridCol w:w="251"/>
        <w:gridCol w:w="249"/>
        <w:gridCol w:w="250"/>
        <w:gridCol w:w="249"/>
        <w:gridCol w:w="250"/>
        <w:gridCol w:w="249"/>
        <w:gridCol w:w="250"/>
        <w:gridCol w:w="249"/>
        <w:gridCol w:w="251"/>
        <w:gridCol w:w="250"/>
        <w:gridCol w:w="251"/>
        <w:gridCol w:w="250"/>
        <w:gridCol w:w="241"/>
      </w:tblGrid>
      <w:tr w:rsidR="00872005" w:rsidTr="006239F1">
        <w:trPr>
          <w:trHeight w:val="170"/>
          <w:jc w:val="center"/>
        </w:trPr>
        <w:tc>
          <w:tcPr>
            <w:tcW w:w="871" w:type="dxa"/>
            <w:vMerge w:val="restart"/>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 xml:space="preserve">Koncentrace léčiva </w:t>
            </w:r>
          </w:p>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SimSun" w:hAnsi="Times New Roman"/>
                <w:b/>
                <w:color w:val="000000"/>
                <w:spacing w:val="0"/>
                <w:sz w:val="12"/>
                <w:szCs w:val="12"/>
              </w:rPr>
            </w:pPr>
            <w:r w:rsidRPr="00060D89">
              <w:rPr>
                <w:rFonts w:ascii="Times New Roman" w:eastAsia="Times New Roman" w:hAnsi="Times New Roman"/>
                <w:b/>
                <w:color w:val="000000"/>
                <w:spacing w:val="0"/>
                <w:sz w:val="12"/>
                <w:szCs w:val="12"/>
              </w:rPr>
              <w:t>(Rozmezí pro vyřazení)</w:t>
            </w:r>
          </w:p>
        </w:tc>
        <w:tc>
          <w:tcPr>
            <w:tcW w:w="500"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BZO 200</w:t>
            </w:r>
          </w:p>
        </w:tc>
        <w:tc>
          <w:tcPr>
            <w:tcW w:w="501"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COC</w:t>
            </w:r>
          </w:p>
        </w:tc>
        <w:tc>
          <w:tcPr>
            <w:tcW w:w="499"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COC150</w:t>
            </w:r>
          </w:p>
        </w:tc>
        <w:tc>
          <w:tcPr>
            <w:tcW w:w="499"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COT</w:t>
            </w:r>
          </w:p>
        </w:tc>
        <w:tc>
          <w:tcPr>
            <w:tcW w:w="499"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CLO</w:t>
            </w:r>
          </w:p>
        </w:tc>
        <w:tc>
          <w:tcPr>
            <w:tcW w:w="500"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MDMA</w:t>
            </w:r>
          </w:p>
        </w:tc>
        <w:tc>
          <w:tcPr>
            <w:tcW w:w="501"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MDMA 2 000</w:t>
            </w:r>
          </w:p>
        </w:tc>
        <w:tc>
          <w:tcPr>
            <w:tcW w:w="491"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ETG</w:t>
            </w:r>
          </w:p>
        </w:tc>
      </w:tr>
      <w:tr w:rsidR="00872005" w:rsidTr="006239F1">
        <w:trPr>
          <w:trHeight w:val="170"/>
          <w:jc w:val="center"/>
        </w:trPr>
        <w:tc>
          <w:tcPr>
            <w:tcW w:w="871" w:type="dxa"/>
            <w:vMerge/>
            <w:vAlign w:val="center"/>
          </w:tcPr>
          <w:p w:rsidR="00ED79DB" w:rsidRPr="00060D89" w:rsidRDefault="00ED79DB"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p>
        </w:tc>
        <w:tc>
          <w:tcPr>
            <w:tcW w:w="249" w:type="dxa"/>
            <w:vAlign w:val="center"/>
          </w:tcPr>
          <w:p w:rsidR="00ED79DB" w:rsidRPr="00060D89" w:rsidRDefault="007270C2"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beforeLines="10" w:before="24" w:afterLines="10" w:after="24" w:line="0" w:lineRule="atLeast"/>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49"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bCs/>
                <w:color w:val="000000"/>
                <w:spacing w:val="0"/>
                <w:sz w:val="12"/>
                <w:szCs w:val="12"/>
              </w:rPr>
            </w:pPr>
            <w:r w:rsidRPr="00060D89">
              <w:rPr>
                <w:rFonts w:ascii="Times New Roman" w:eastAsia="Times New Roman" w:hAnsi="Times New Roman"/>
                <w:b/>
                <w:bCs/>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bCs/>
                <w:color w:val="000000"/>
                <w:spacing w:val="0"/>
                <w:sz w:val="12"/>
                <w:szCs w:val="12"/>
              </w:rPr>
            </w:pPr>
            <w:r w:rsidRPr="00060D89">
              <w:rPr>
                <w:rFonts w:ascii="Times New Roman" w:eastAsia="Times New Roman" w:hAnsi="Times New Roman"/>
                <w:b/>
                <w:bCs/>
                <w:color w:val="000000"/>
                <w:spacing w:val="0"/>
                <w:sz w:val="12"/>
                <w:szCs w:val="12"/>
              </w:rPr>
              <w:t>+</w:t>
            </w:r>
          </w:p>
        </w:tc>
        <w:tc>
          <w:tcPr>
            <w:tcW w:w="249"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bCs/>
                <w:color w:val="000000"/>
                <w:spacing w:val="0"/>
                <w:sz w:val="12"/>
                <w:szCs w:val="12"/>
              </w:rPr>
            </w:pPr>
            <w:r w:rsidRPr="00060D89">
              <w:rPr>
                <w:rFonts w:ascii="Times New Roman" w:eastAsia="Times New Roman" w:hAnsi="Times New Roman"/>
                <w:b/>
                <w:bCs/>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bCs/>
                <w:color w:val="000000"/>
                <w:spacing w:val="0"/>
                <w:sz w:val="12"/>
                <w:szCs w:val="12"/>
              </w:rPr>
            </w:pPr>
            <w:r w:rsidRPr="00060D89">
              <w:rPr>
                <w:rFonts w:ascii="Times New Roman" w:eastAsia="Times New Roman" w:hAnsi="Times New Roman"/>
                <w:b/>
                <w:bCs/>
                <w:color w:val="000000"/>
                <w:spacing w:val="0"/>
                <w:sz w:val="12"/>
                <w:szCs w:val="12"/>
              </w:rPr>
              <w:t>+</w:t>
            </w:r>
          </w:p>
        </w:tc>
        <w:tc>
          <w:tcPr>
            <w:tcW w:w="249"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bCs/>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bCs/>
                <w:color w:val="000000"/>
                <w:spacing w:val="0"/>
                <w:sz w:val="12"/>
                <w:szCs w:val="12"/>
              </w:rPr>
              <w:t>+</w:t>
            </w:r>
          </w:p>
        </w:tc>
        <w:tc>
          <w:tcPr>
            <w:tcW w:w="249"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bCs/>
                <w:color w:val="000000"/>
                <w:spacing w:val="0"/>
                <w:sz w:val="12"/>
                <w:szCs w:val="12"/>
              </w:rPr>
            </w:pPr>
            <w:r w:rsidRPr="00060D89">
              <w:rPr>
                <w:rFonts w:ascii="Times New Roman" w:eastAsia="Times New Roman" w:hAnsi="Times New Roman"/>
                <w:b/>
                <w:bCs/>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bCs/>
                <w:color w:val="000000"/>
                <w:spacing w:val="0"/>
                <w:sz w:val="12"/>
                <w:szCs w:val="12"/>
              </w:rPr>
            </w:pPr>
            <w:r w:rsidRPr="00060D89">
              <w:rPr>
                <w:rFonts w:ascii="Times New Roman" w:eastAsia="Times New Roman" w:hAnsi="Times New Roman"/>
                <w:b/>
                <w:bCs/>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bCs/>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bCs/>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bCs/>
                <w:color w:val="000000"/>
                <w:spacing w:val="0"/>
                <w:sz w:val="12"/>
                <w:szCs w:val="12"/>
              </w:rPr>
              <w:t>-</w:t>
            </w:r>
          </w:p>
        </w:tc>
        <w:tc>
          <w:tcPr>
            <w:tcW w:w="241"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bCs/>
                <w:color w:val="000000"/>
                <w:spacing w:val="0"/>
                <w:sz w:val="12"/>
                <w:szCs w:val="12"/>
              </w:rPr>
              <w:t>+</w:t>
            </w:r>
          </w:p>
        </w:tc>
      </w:tr>
      <w:tr w:rsidR="00872005" w:rsidTr="006239F1">
        <w:trPr>
          <w:trHeight w:val="170"/>
          <w:jc w:val="center"/>
        </w:trPr>
        <w:tc>
          <w:tcPr>
            <w:tcW w:w="871"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0 % Mezní hodnota</w:t>
            </w:r>
          </w:p>
        </w:tc>
        <w:tc>
          <w:tcPr>
            <w:tcW w:w="249"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50</w:t>
            </w:r>
          </w:p>
        </w:tc>
        <w:tc>
          <w:tcPr>
            <w:tcW w:w="251"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rPr>
            </w:pPr>
            <w:r w:rsidRPr="00060D89">
              <w:rPr>
                <w:rFonts w:ascii="Times New Roman" w:hAnsi="Times New Roman"/>
                <w:color w:val="000000"/>
                <w:spacing w:val="0"/>
                <w:sz w:val="12"/>
                <w:szCs w:val="12"/>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jc w:val="center"/>
        </w:trPr>
        <w:tc>
          <w:tcPr>
            <w:tcW w:w="871"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-75 % Mezní hodnota</w:t>
            </w:r>
          </w:p>
        </w:tc>
        <w:tc>
          <w:tcPr>
            <w:tcW w:w="249"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50</w:t>
            </w:r>
          </w:p>
        </w:tc>
        <w:tc>
          <w:tcPr>
            <w:tcW w:w="251"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rPr>
            </w:pPr>
            <w:r w:rsidRPr="00060D89">
              <w:rPr>
                <w:rFonts w:ascii="Times New Roman" w:hAnsi="Times New Roman"/>
                <w:color w:val="000000"/>
                <w:spacing w:val="0"/>
                <w:sz w:val="12"/>
                <w:szCs w:val="12"/>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jc w:val="center"/>
        </w:trPr>
        <w:tc>
          <w:tcPr>
            <w:tcW w:w="871"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-50 % Mezní hodnota</w:t>
            </w:r>
          </w:p>
        </w:tc>
        <w:tc>
          <w:tcPr>
            <w:tcW w:w="249"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50</w:t>
            </w:r>
          </w:p>
        </w:tc>
        <w:tc>
          <w:tcPr>
            <w:tcW w:w="251"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rPr>
            </w:pPr>
            <w:r w:rsidRPr="00060D89">
              <w:rPr>
                <w:rFonts w:ascii="Times New Roman" w:hAnsi="Times New Roman"/>
                <w:color w:val="000000"/>
                <w:spacing w:val="0"/>
                <w:sz w:val="12"/>
                <w:szCs w:val="12"/>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jc w:val="center"/>
        </w:trPr>
        <w:tc>
          <w:tcPr>
            <w:tcW w:w="871"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-25 % Mezní hodnota</w:t>
            </w:r>
          </w:p>
        </w:tc>
        <w:tc>
          <w:tcPr>
            <w:tcW w:w="249"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50</w:t>
            </w:r>
          </w:p>
        </w:tc>
        <w:tc>
          <w:tcPr>
            <w:tcW w:w="251"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rPr>
            </w:pPr>
            <w:r w:rsidRPr="00060D89">
              <w:rPr>
                <w:rFonts w:ascii="Times New Roman" w:hAnsi="Times New Roman"/>
                <w:color w:val="000000"/>
                <w:spacing w:val="0"/>
                <w:sz w:val="12"/>
                <w:szCs w:val="12"/>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44</w:t>
            </w:r>
          </w:p>
        </w:tc>
        <w:tc>
          <w:tcPr>
            <w:tcW w:w="24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6</w:t>
            </w:r>
          </w:p>
        </w:tc>
      </w:tr>
      <w:tr w:rsidR="00872005" w:rsidTr="006239F1">
        <w:trPr>
          <w:trHeight w:val="170"/>
          <w:jc w:val="center"/>
        </w:trPr>
        <w:tc>
          <w:tcPr>
            <w:tcW w:w="871"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Hranice</w:t>
            </w:r>
          </w:p>
        </w:tc>
        <w:tc>
          <w:tcPr>
            <w:tcW w:w="249"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24</w:t>
            </w:r>
          </w:p>
        </w:tc>
        <w:tc>
          <w:tcPr>
            <w:tcW w:w="251" w:type="dxa"/>
            <w:vAlign w:val="center"/>
          </w:tcPr>
          <w:p w:rsidR="00ED79DB" w:rsidRPr="00060D89" w:rsidRDefault="007270C2" w:rsidP="006239F1">
            <w:pPr>
              <w:spacing w:beforeLines="10" w:before="24" w:afterLines="10" w:after="24" w:line="0" w:lineRule="atLeast"/>
              <w:jc w:val="center"/>
              <w:rPr>
                <w:rFonts w:ascii="Times New Roman" w:hAnsi="Times New Roman"/>
                <w:color w:val="000000"/>
                <w:sz w:val="12"/>
                <w:szCs w:val="12"/>
              </w:rPr>
            </w:pPr>
            <w:r w:rsidRPr="00060D89">
              <w:rPr>
                <w:rFonts w:ascii="Times New Roman" w:hAnsi="Times New Roman"/>
                <w:color w:val="000000"/>
                <w:sz w:val="12"/>
                <w:szCs w:val="12"/>
              </w:rPr>
              <w:t>26</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30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24</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26</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30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23</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27</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24</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26</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25</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25</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23</w:t>
            </w:r>
          </w:p>
        </w:tc>
        <w:tc>
          <w:tcPr>
            <w:tcW w:w="24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27</w:t>
            </w:r>
          </w:p>
        </w:tc>
      </w:tr>
      <w:tr w:rsidR="00872005" w:rsidTr="006239F1">
        <w:trPr>
          <w:trHeight w:val="170"/>
          <w:jc w:val="center"/>
        </w:trPr>
        <w:tc>
          <w:tcPr>
            <w:tcW w:w="871"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+25 % Mezní hodnota</w:t>
            </w:r>
          </w:p>
        </w:tc>
        <w:tc>
          <w:tcPr>
            <w:tcW w:w="249"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0</w:t>
            </w:r>
          </w:p>
        </w:tc>
        <w:tc>
          <w:tcPr>
            <w:tcW w:w="251"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8</w:t>
            </w:r>
          </w:p>
        </w:tc>
        <w:tc>
          <w:tcPr>
            <w:tcW w:w="24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42</w:t>
            </w:r>
          </w:p>
        </w:tc>
      </w:tr>
      <w:tr w:rsidR="00872005" w:rsidTr="006239F1">
        <w:trPr>
          <w:trHeight w:val="170"/>
          <w:jc w:val="center"/>
        </w:trPr>
        <w:tc>
          <w:tcPr>
            <w:tcW w:w="871"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+50 % Mezní hodnota</w:t>
            </w:r>
          </w:p>
        </w:tc>
        <w:tc>
          <w:tcPr>
            <w:tcW w:w="249"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0</w:t>
            </w:r>
          </w:p>
        </w:tc>
        <w:tc>
          <w:tcPr>
            <w:tcW w:w="251"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r>
      <w:tr w:rsidR="00872005" w:rsidTr="006239F1">
        <w:trPr>
          <w:trHeight w:val="170"/>
          <w:jc w:val="center"/>
        </w:trPr>
        <w:tc>
          <w:tcPr>
            <w:tcW w:w="871"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+75 % Mezní hodnota</w:t>
            </w:r>
          </w:p>
        </w:tc>
        <w:tc>
          <w:tcPr>
            <w:tcW w:w="249"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0</w:t>
            </w:r>
          </w:p>
        </w:tc>
        <w:tc>
          <w:tcPr>
            <w:tcW w:w="251"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r>
      <w:tr w:rsidR="00872005" w:rsidTr="006239F1">
        <w:trPr>
          <w:trHeight w:val="170"/>
          <w:jc w:val="center"/>
        </w:trPr>
        <w:tc>
          <w:tcPr>
            <w:tcW w:w="871" w:type="dxa"/>
            <w:tcBorders>
              <w:bottom w:val="single" w:sz="4" w:space="0" w:color="auto"/>
            </w:tcBorders>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+100 % Mezní hodnota</w:t>
            </w:r>
          </w:p>
        </w:tc>
        <w:tc>
          <w:tcPr>
            <w:tcW w:w="249" w:type="dxa"/>
            <w:tcBorders>
              <w:bottom w:val="single" w:sz="4" w:space="0" w:color="auto"/>
            </w:tcBorders>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tcBorders>
              <w:bottom w:val="single" w:sz="4" w:space="0" w:color="auto"/>
            </w:tcBorders>
            <w:vAlign w:val="center"/>
          </w:tcPr>
          <w:p w:rsidR="00ED79DB" w:rsidRPr="00060D89" w:rsidRDefault="007270C2" w:rsidP="006239F1">
            <w:pPr>
              <w:pStyle w:val="BodyText3"/>
              <w:spacing w:beforeLines="10" w:before="24" w:afterLines="10" w:after="24" w:line="0" w:lineRule="atLeast"/>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tcBorders>
              <w:bottom w:val="single" w:sz="4" w:space="0" w:color="auto"/>
            </w:tcBorders>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0</w:t>
            </w:r>
          </w:p>
        </w:tc>
        <w:tc>
          <w:tcPr>
            <w:tcW w:w="251" w:type="dxa"/>
            <w:tcBorders>
              <w:bottom w:val="single" w:sz="4" w:space="0" w:color="auto"/>
            </w:tcBorders>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50</w:t>
            </w:r>
          </w:p>
        </w:tc>
        <w:tc>
          <w:tcPr>
            <w:tcW w:w="250"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1"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r>
    </w:tbl>
    <w:p w:rsidR="00ED79DB" w:rsidRPr="00060D89" w:rsidRDefault="00ED79DB" w:rsidP="00ED79DB">
      <w:pPr>
        <w:spacing w:line="60" w:lineRule="exact"/>
        <w:rPr>
          <w:rFonts w:ascii="Times New Roman" w:hAnsi="Times New Roman"/>
          <w:color w:val="000000"/>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74"/>
        <w:gridCol w:w="251"/>
        <w:gridCol w:w="252"/>
        <w:gridCol w:w="252"/>
        <w:gridCol w:w="252"/>
        <w:gridCol w:w="248"/>
        <w:gridCol w:w="249"/>
        <w:gridCol w:w="249"/>
        <w:gridCol w:w="249"/>
        <w:gridCol w:w="248"/>
        <w:gridCol w:w="249"/>
        <w:gridCol w:w="249"/>
        <w:gridCol w:w="250"/>
        <w:gridCol w:w="249"/>
        <w:gridCol w:w="250"/>
        <w:gridCol w:w="250"/>
        <w:gridCol w:w="230"/>
      </w:tblGrid>
      <w:tr w:rsidR="00872005" w:rsidTr="006239F1">
        <w:trPr>
          <w:trHeight w:val="170"/>
        </w:trPr>
        <w:tc>
          <w:tcPr>
            <w:tcW w:w="874" w:type="dxa"/>
            <w:vMerge w:val="restart"/>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 xml:space="preserve">Koncentrace léčiva </w:t>
            </w:r>
          </w:p>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SimSun" w:hAnsi="Times New Roman"/>
                <w:b/>
                <w:color w:val="000000"/>
                <w:spacing w:val="0"/>
                <w:sz w:val="12"/>
                <w:szCs w:val="12"/>
              </w:rPr>
            </w:pPr>
            <w:r w:rsidRPr="00060D89">
              <w:rPr>
                <w:rFonts w:ascii="Times New Roman" w:eastAsia="Times New Roman" w:hAnsi="Times New Roman"/>
                <w:b/>
                <w:color w:val="000000"/>
                <w:spacing w:val="0"/>
                <w:sz w:val="12"/>
                <w:szCs w:val="12"/>
              </w:rPr>
              <w:t>(Rozmezí cut-off)</w:t>
            </w:r>
          </w:p>
        </w:tc>
        <w:tc>
          <w:tcPr>
            <w:tcW w:w="503"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ETG 300</w:t>
            </w:r>
          </w:p>
        </w:tc>
        <w:tc>
          <w:tcPr>
            <w:tcW w:w="504"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FEN</w:t>
            </w:r>
          </w:p>
        </w:tc>
        <w:tc>
          <w:tcPr>
            <w:tcW w:w="497"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FEN 200</w:t>
            </w:r>
          </w:p>
        </w:tc>
        <w:tc>
          <w:tcPr>
            <w:tcW w:w="498"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FEN 20</w:t>
            </w:r>
          </w:p>
        </w:tc>
        <w:tc>
          <w:tcPr>
            <w:tcW w:w="497"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FEN 10</w:t>
            </w:r>
          </w:p>
        </w:tc>
        <w:tc>
          <w:tcPr>
            <w:tcW w:w="499"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GAB</w:t>
            </w:r>
          </w:p>
        </w:tc>
        <w:tc>
          <w:tcPr>
            <w:tcW w:w="499"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HCD</w:t>
            </w:r>
          </w:p>
        </w:tc>
        <w:tc>
          <w:tcPr>
            <w:tcW w:w="480"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HMO</w:t>
            </w:r>
          </w:p>
        </w:tc>
      </w:tr>
      <w:tr w:rsidR="00872005" w:rsidTr="006239F1">
        <w:trPr>
          <w:trHeight w:val="170"/>
        </w:trPr>
        <w:tc>
          <w:tcPr>
            <w:tcW w:w="874" w:type="dxa"/>
            <w:vMerge/>
            <w:vAlign w:val="center"/>
          </w:tcPr>
          <w:p w:rsidR="00ED79DB" w:rsidRPr="00060D89" w:rsidRDefault="00ED79DB"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2"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2"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bCs/>
                <w:color w:val="000000"/>
                <w:spacing w:val="0"/>
                <w:sz w:val="12"/>
                <w:szCs w:val="12"/>
              </w:rPr>
              <w:t>-</w:t>
            </w:r>
          </w:p>
        </w:tc>
        <w:tc>
          <w:tcPr>
            <w:tcW w:w="252"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bCs/>
                <w:color w:val="000000"/>
                <w:spacing w:val="0"/>
                <w:sz w:val="12"/>
                <w:szCs w:val="12"/>
              </w:rPr>
            </w:pPr>
            <w:r w:rsidRPr="00060D89">
              <w:rPr>
                <w:rFonts w:ascii="Times New Roman" w:eastAsia="Times New Roman" w:hAnsi="Times New Roman"/>
                <w:b/>
                <w:bCs/>
                <w:color w:val="000000"/>
                <w:spacing w:val="0"/>
                <w:sz w:val="12"/>
                <w:szCs w:val="12"/>
              </w:rPr>
              <w:t>+</w:t>
            </w:r>
          </w:p>
        </w:tc>
        <w:tc>
          <w:tcPr>
            <w:tcW w:w="248"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49"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49"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bCs/>
                <w:color w:val="000000"/>
                <w:spacing w:val="0"/>
                <w:sz w:val="12"/>
                <w:szCs w:val="12"/>
              </w:rPr>
            </w:pPr>
            <w:r w:rsidRPr="00060D89">
              <w:rPr>
                <w:rFonts w:ascii="Times New Roman" w:eastAsia="Times New Roman" w:hAnsi="Times New Roman"/>
                <w:b/>
                <w:bCs/>
                <w:color w:val="000000"/>
                <w:spacing w:val="0"/>
                <w:sz w:val="12"/>
                <w:szCs w:val="12"/>
              </w:rPr>
              <w:t>-</w:t>
            </w:r>
          </w:p>
        </w:tc>
        <w:tc>
          <w:tcPr>
            <w:tcW w:w="249"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bCs/>
                <w:color w:val="000000"/>
                <w:spacing w:val="0"/>
                <w:sz w:val="12"/>
                <w:szCs w:val="12"/>
              </w:rPr>
            </w:pPr>
            <w:r w:rsidRPr="00060D89">
              <w:rPr>
                <w:rFonts w:ascii="Times New Roman" w:eastAsia="Times New Roman" w:hAnsi="Times New Roman"/>
                <w:b/>
                <w:bCs/>
                <w:color w:val="000000"/>
                <w:spacing w:val="0"/>
                <w:sz w:val="12"/>
                <w:szCs w:val="12"/>
              </w:rPr>
              <w:t>+</w:t>
            </w:r>
          </w:p>
        </w:tc>
        <w:tc>
          <w:tcPr>
            <w:tcW w:w="248"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0" w:lineRule="atLeast"/>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Cs/>
                <w:color w:val="000000"/>
                <w:spacing w:val="0"/>
                <w:sz w:val="12"/>
                <w:szCs w:val="12"/>
              </w:rPr>
              <w:t>-</w:t>
            </w:r>
          </w:p>
        </w:tc>
        <w:tc>
          <w:tcPr>
            <w:tcW w:w="249"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0" w:lineRule="atLeast"/>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Cs/>
                <w:color w:val="000000"/>
                <w:spacing w:val="0"/>
                <w:sz w:val="12"/>
                <w:szCs w:val="12"/>
              </w:rPr>
              <w:t>+</w:t>
            </w:r>
          </w:p>
        </w:tc>
        <w:tc>
          <w:tcPr>
            <w:tcW w:w="249"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49"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bCs/>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0" w:lineRule="atLeast"/>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3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0" w:lineRule="atLeast"/>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r>
      <w:tr w:rsidR="00872005" w:rsidTr="006239F1">
        <w:trPr>
          <w:trHeight w:val="170"/>
        </w:trPr>
        <w:tc>
          <w:tcPr>
            <w:tcW w:w="874"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0 % Mezní hodnota</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8"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8"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50</w:t>
            </w:r>
          </w:p>
        </w:tc>
        <w:tc>
          <w:tcPr>
            <w:tcW w:w="249"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rPr>
            </w:pPr>
            <w:r w:rsidRPr="00060D89">
              <w:rPr>
                <w:rFonts w:ascii="Times New Roman" w:hAnsi="Times New Roman"/>
                <w:color w:val="000000"/>
                <w:spacing w:val="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3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trPr>
        <w:tc>
          <w:tcPr>
            <w:tcW w:w="874"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-75 % Mezní hodnota</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8"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8"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50</w:t>
            </w:r>
          </w:p>
        </w:tc>
        <w:tc>
          <w:tcPr>
            <w:tcW w:w="249"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rPr>
            </w:pPr>
            <w:r w:rsidRPr="00060D89">
              <w:rPr>
                <w:rFonts w:ascii="Times New Roman" w:hAnsi="Times New Roman"/>
                <w:color w:val="000000"/>
                <w:spacing w:val="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3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trPr>
        <w:tc>
          <w:tcPr>
            <w:tcW w:w="874"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-50 % Mezní hodnota</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8"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8"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50</w:t>
            </w:r>
          </w:p>
        </w:tc>
        <w:tc>
          <w:tcPr>
            <w:tcW w:w="249"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rPr>
            </w:pPr>
            <w:r w:rsidRPr="00060D89">
              <w:rPr>
                <w:rFonts w:ascii="Times New Roman" w:hAnsi="Times New Roman"/>
                <w:color w:val="000000"/>
                <w:spacing w:val="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3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trPr>
        <w:tc>
          <w:tcPr>
            <w:tcW w:w="874"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-25 % Mezní hodnota</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42</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8</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8"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46</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4</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8"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50</w:t>
            </w:r>
          </w:p>
        </w:tc>
        <w:tc>
          <w:tcPr>
            <w:tcW w:w="249"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48</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3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trPr>
        <w:tc>
          <w:tcPr>
            <w:tcW w:w="874"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Hranice</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23</w:t>
            </w:r>
          </w:p>
        </w:tc>
        <w:tc>
          <w:tcPr>
            <w:tcW w:w="252"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27</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22</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28</w:t>
            </w:r>
          </w:p>
        </w:tc>
        <w:tc>
          <w:tcPr>
            <w:tcW w:w="248"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22</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28</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22</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28</w:t>
            </w:r>
          </w:p>
        </w:tc>
        <w:tc>
          <w:tcPr>
            <w:tcW w:w="248"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25</w:t>
            </w:r>
          </w:p>
        </w:tc>
        <w:tc>
          <w:tcPr>
            <w:tcW w:w="249"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25</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22</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lang w:eastAsia="zh-CN"/>
              </w:rPr>
              <w:t>28</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24</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26</w:t>
            </w:r>
          </w:p>
        </w:tc>
        <w:tc>
          <w:tcPr>
            <w:tcW w:w="25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23</w:t>
            </w:r>
          </w:p>
        </w:tc>
        <w:tc>
          <w:tcPr>
            <w:tcW w:w="23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27</w:t>
            </w:r>
          </w:p>
        </w:tc>
      </w:tr>
      <w:tr w:rsidR="00872005" w:rsidTr="006239F1">
        <w:trPr>
          <w:trHeight w:val="170"/>
        </w:trPr>
        <w:tc>
          <w:tcPr>
            <w:tcW w:w="874"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+25 % Mezní hodnota</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4</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46</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8"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3</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47</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8"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0</w:t>
            </w:r>
          </w:p>
        </w:tc>
        <w:tc>
          <w:tcPr>
            <w:tcW w:w="249"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45</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1</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49</w:t>
            </w:r>
          </w:p>
        </w:tc>
        <w:tc>
          <w:tcPr>
            <w:tcW w:w="25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w:t>
            </w:r>
          </w:p>
        </w:tc>
        <w:tc>
          <w:tcPr>
            <w:tcW w:w="23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45</w:t>
            </w:r>
          </w:p>
        </w:tc>
      </w:tr>
      <w:tr w:rsidR="00872005" w:rsidTr="006239F1">
        <w:trPr>
          <w:trHeight w:val="170"/>
        </w:trPr>
        <w:tc>
          <w:tcPr>
            <w:tcW w:w="874"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+50 % Mezní hodnota</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8"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8"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0</w:t>
            </w:r>
          </w:p>
        </w:tc>
        <w:tc>
          <w:tcPr>
            <w:tcW w:w="249"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3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r>
      <w:tr w:rsidR="00872005" w:rsidTr="006239F1">
        <w:trPr>
          <w:trHeight w:val="170"/>
        </w:trPr>
        <w:tc>
          <w:tcPr>
            <w:tcW w:w="874"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+75 % Mezní hodnota</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8"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8"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0</w:t>
            </w:r>
          </w:p>
        </w:tc>
        <w:tc>
          <w:tcPr>
            <w:tcW w:w="249" w:type="dxa"/>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3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r>
      <w:tr w:rsidR="00872005" w:rsidTr="006239F1">
        <w:trPr>
          <w:trHeight w:val="170"/>
        </w:trPr>
        <w:tc>
          <w:tcPr>
            <w:tcW w:w="874" w:type="dxa"/>
            <w:tcBorders>
              <w:bottom w:val="single" w:sz="4" w:space="0" w:color="auto"/>
            </w:tcBorders>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+100 % Mezní hodnota</w:t>
            </w:r>
          </w:p>
        </w:tc>
        <w:tc>
          <w:tcPr>
            <w:tcW w:w="251"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2"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2"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8"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8" w:type="dxa"/>
            <w:tcBorders>
              <w:bottom w:val="single" w:sz="4" w:space="0" w:color="auto"/>
            </w:tcBorders>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0</w:t>
            </w:r>
          </w:p>
        </w:tc>
        <w:tc>
          <w:tcPr>
            <w:tcW w:w="249" w:type="dxa"/>
            <w:tcBorders>
              <w:bottom w:val="single" w:sz="4" w:space="0" w:color="auto"/>
            </w:tcBorders>
            <w:vAlign w:val="center"/>
          </w:tcPr>
          <w:p w:rsidR="00ED79DB" w:rsidRPr="00060D89" w:rsidRDefault="007270C2" w:rsidP="006239F1">
            <w:pPr>
              <w:pStyle w:val="BodyText3"/>
              <w:spacing w:line="0" w:lineRule="atLeast"/>
              <w:ind w:right="0"/>
              <w:jc w:val="center"/>
              <w:rPr>
                <w:rFonts w:ascii="Times New Roman" w:hAnsi="Times New Roman"/>
                <w:color w:val="000000"/>
                <w:spacing w:val="0"/>
                <w:sz w:val="12"/>
                <w:szCs w:val="12"/>
                <w:lang w:eastAsia="zh-CN"/>
              </w:rPr>
            </w:pPr>
            <w:r w:rsidRPr="00060D89">
              <w:rPr>
                <w:rFonts w:ascii="Times New Roman" w:hAnsi="Times New Roman"/>
                <w:color w:val="000000"/>
                <w:spacing w:val="0"/>
                <w:sz w:val="12"/>
                <w:szCs w:val="12"/>
                <w:lang w:eastAsia="zh-CN"/>
              </w:rPr>
              <w:t>50</w:t>
            </w:r>
          </w:p>
        </w:tc>
        <w:tc>
          <w:tcPr>
            <w:tcW w:w="249"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tcBorders>
              <w:bottom w:val="single" w:sz="4" w:space="0" w:color="auto"/>
            </w:tcBorders>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30" w:type="dxa"/>
            <w:tcBorders>
              <w:bottom w:val="single" w:sz="4" w:space="0" w:color="auto"/>
            </w:tcBorders>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r>
    </w:tbl>
    <w:p w:rsidR="00ED79DB" w:rsidRPr="00060D89" w:rsidRDefault="00ED79DB" w:rsidP="00ED79DB">
      <w:pPr>
        <w:spacing w:line="60" w:lineRule="exact"/>
        <w:rPr>
          <w:rFonts w:ascii="Times New Roman" w:hAnsi="Times New Roman"/>
          <w:color w:val="000000"/>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60"/>
        <w:gridCol w:w="252"/>
        <w:gridCol w:w="253"/>
        <w:gridCol w:w="252"/>
        <w:gridCol w:w="251"/>
        <w:gridCol w:w="250"/>
        <w:gridCol w:w="249"/>
        <w:gridCol w:w="250"/>
        <w:gridCol w:w="250"/>
        <w:gridCol w:w="249"/>
        <w:gridCol w:w="250"/>
        <w:gridCol w:w="249"/>
        <w:gridCol w:w="250"/>
        <w:gridCol w:w="251"/>
        <w:gridCol w:w="250"/>
        <w:gridCol w:w="251"/>
        <w:gridCol w:w="234"/>
      </w:tblGrid>
      <w:tr w:rsidR="00872005" w:rsidTr="006239F1">
        <w:trPr>
          <w:trHeight w:val="170"/>
        </w:trPr>
        <w:tc>
          <w:tcPr>
            <w:tcW w:w="860" w:type="dxa"/>
            <w:vMerge w:val="restart"/>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 xml:space="preserve">Koncentrace léčiva </w:t>
            </w:r>
          </w:p>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SimSun" w:hAnsi="Times New Roman"/>
                <w:b/>
                <w:color w:val="000000"/>
                <w:spacing w:val="0"/>
                <w:sz w:val="12"/>
                <w:szCs w:val="12"/>
              </w:rPr>
            </w:pPr>
            <w:r w:rsidRPr="00060D89">
              <w:rPr>
                <w:rFonts w:ascii="Times New Roman" w:eastAsia="Times New Roman" w:hAnsi="Times New Roman"/>
                <w:b/>
                <w:color w:val="000000"/>
                <w:spacing w:val="0"/>
                <w:sz w:val="12"/>
                <w:szCs w:val="12"/>
              </w:rPr>
              <w:t>(Rozmezí pro stanovení)</w:t>
            </w:r>
          </w:p>
        </w:tc>
        <w:tc>
          <w:tcPr>
            <w:tcW w:w="505"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K2</w:t>
            </w:r>
          </w:p>
        </w:tc>
        <w:tc>
          <w:tcPr>
            <w:tcW w:w="503"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K2 25</w:t>
            </w:r>
          </w:p>
        </w:tc>
        <w:tc>
          <w:tcPr>
            <w:tcW w:w="499"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K3</w:t>
            </w:r>
          </w:p>
        </w:tc>
        <w:tc>
          <w:tcPr>
            <w:tcW w:w="500"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KET</w:t>
            </w:r>
          </w:p>
        </w:tc>
        <w:tc>
          <w:tcPr>
            <w:tcW w:w="499"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KET 100</w:t>
            </w:r>
          </w:p>
        </w:tc>
        <w:tc>
          <w:tcPr>
            <w:tcW w:w="499"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KRA</w:t>
            </w:r>
          </w:p>
        </w:tc>
        <w:tc>
          <w:tcPr>
            <w:tcW w:w="501"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LSD</w:t>
            </w:r>
          </w:p>
        </w:tc>
        <w:tc>
          <w:tcPr>
            <w:tcW w:w="485"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THC</w:t>
            </w:r>
          </w:p>
        </w:tc>
      </w:tr>
      <w:tr w:rsidR="00872005" w:rsidTr="006239F1">
        <w:trPr>
          <w:trHeight w:val="170"/>
        </w:trPr>
        <w:tc>
          <w:tcPr>
            <w:tcW w:w="860" w:type="dxa"/>
            <w:vMerge/>
            <w:vAlign w:val="center"/>
          </w:tcPr>
          <w:p w:rsidR="00ED79DB" w:rsidRPr="00060D89" w:rsidRDefault="00ED79DB"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p>
        </w:tc>
        <w:tc>
          <w:tcPr>
            <w:tcW w:w="252"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3"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2"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Cs/>
                <w:color w:val="000000"/>
                <w:spacing w:val="0"/>
                <w:sz w:val="12"/>
                <w:szCs w:val="12"/>
              </w:rPr>
              <w:t>-</w:t>
            </w:r>
          </w:p>
        </w:tc>
        <w:tc>
          <w:tcPr>
            <w:tcW w:w="249"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Cs/>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49"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bCs/>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bCs/>
                <w:color w:val="000000"/>
                <w:spacing w:val="0"/>
                <w:sz w:val="12"/>
                <w:szCs w:val="12"/>
              </w:rPr>
            </w:pPr>
            <w:r w:rsidRPr="00060D89">
              <w:rPr>
                <w:rFonts w:ascii="Times New Roman" w:eastAsia="Times New Roman" w:hAnsi="Times New Roman"/>
                <w:b/>
                <w:bCs/>
                <w:color w:val="000000"/>
                <w:spacing w:val="0"/>
                <w:sz w:val="12"/>
                <w:szCs w:val="12"/>
              </w:rPr>
              <w:t>+</w:t>
            </w:r>
          </w:p>
        </w:tc>
        <w:tc>
          <w:tcPr>
            <w:tcW w:w="249"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0" w:lineRule="atLeast"/>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0" w:lineRule="atLeast"/>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Cs/>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Cs/>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Cs/>
                <w:color w:val="000000"/>
                <w:spacing w:val="0"/>
                <w:sz w:val="12"/>
                <w:szCs w:val="12"/>
              </w:rPr>
            </w:pPr>
            <w:r w:rsidRPr="00060D89">
              <w:rPr>
                <w:rFonts w:ascii="Times New Roman" w:eastAsia="Times New Roman" w:hAnsi="Times New Roman"/>
                <w:bCs/>
                <w:color w:val="000000"/>
                <w:spacing w:val="0"/>
                <w:sz w:val="12"/>
                <w:szCs w:val="12"/>
              </w:rPr>
              <w:t>-</w:t>
            </w:r>
          </w:p>
        </w:tc>
        <w:tc>
          <w:tcPr>
            <w:tcW w:w="234"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Cs/>
                <w:color w:val="000000"/>
                <w:spacing w:val="0"/>
                <w:sz w:val="12"/>
                <w:szCs w:val="12"/>
              </w:rPr>
            </w:pPr>
            <w:r w:rsidRPr="00060D89">
              <w:rPr>
                <w:rFonts w:ascii="Times New Roman" w:eastAsia="Times New Roman" w:hAnsi="Times New Roman"/>
                <w:bCs/>
                <w:color w:val="000000"/>
                <w:spacing w:val="0"/>
                <w:sz w:val="12"/>
                <w:szCs w:val="12"/>
              </w:rPr>
              <w:t>+</w:t>
            </w:r>
          </w:p>
        </w:tc>
      </w:tr>
      <w:tr w:rsidR="00872005" w:rsidTr="006239F1">
        <w:trPr>
          <w:trHeight w:val="170"/>
        </w:trPr>
        <w:tc>
          <w:tcPr>
            <w:tcW w:w="860"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0 % Mezní hodnota</w:t>
            </w:r>
          </w:p>
        </w:tc>
        <w:tc>
          <w:tcPr>
            <w:tcW w:w="252"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3"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2"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34"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trPr>
        <w:tc>
          <w:tcPr>
            <w:tcW w:w="860"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-75 % Mezní hodnota</w:t>
            </w:r>
          </w:p>
        </w:tc>
        <w:tc>
          <w:tcPr>
            <w:tcW w:w="252"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3"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2"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34"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trPr>
        <w:tc>
          <w:tcPr>
            <w:tcW w:w="860"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-50 % Mezní hodnota</w:t>
            </w:r>
          </w:p>
        </w:tc>
        <w:tc>
          <w:tcPr>
            <w:tcW w:w="252"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3"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2"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34"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trPr>
        <w:tc>
          <w:tcPr>
            <w:tcW w:w="860"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-25 % Mezní hodnota</w:t>
            </w:r>
          </w:p>
        </w:tc>
        <w:tc>
          <w:tcPr>
            <w:tcW w:w="252"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3"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2"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48</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45</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44</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6</w:t>
            </w:r>
          </w:p>
        </w:tc>
        <w:tc>
          <w:tcPr>
            <w:tcW w:w="249"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45</w:t>
            </w:r>
          </w:p>
        </w:tc>
        <w:tc>
          <w:tcPr>
            <w:tcW w:w="25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44</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6</w:t>
            </w:r>
          </w:p>
        </w:tc>
        <w:tc>
          <w:tcPr>
            <w:tcW w:w="251"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34"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trPr>
        <w:tc>
          <w:tcPr>
            <w:tcW w:w="860"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Hranice</w:t>
            </w:r>
          </w:p>
        </w:tc>
        <w:tc>
          <w:tcPr>
            <w:tcW w:w="252"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18</w:t>
            </w:r>
          </w:p>
        </w:tc>
        <w:tc>
          <w:tcPr>
            <w:tcW w:w="253"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32</w:t>
            </w:r>
          </w:p>
        </w:tc>
        <w:tc>
          <w:tcPr>
            <w:tcW w:w="252"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22</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28</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23</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27</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26</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24</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30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20</w:t>
            </w:r>
          </w:p>
        </w:tc>
        <w:tc>
          <w:tcPr>
            <w:tcW w:w="249"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22</w:t>
            </w:r>
          </w:p>
        </w:tc>
        <w:tc>
          <w:tcPr>
            <w:tcW w:w="25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28</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21</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29</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20</w:t>
            </w:r>
          </w:p>
        </w:tc>
        <w:tc>
          <w:tcPr>
            <w:tcW w:w="234"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30</w:t>
            </w:r>
          </w:p>
        </w:tc>
      </w:tr>
      <w:tr w:rsidR="00872005" w:rsidTr="006239F1">
        <w:trPr>
          <w:trHeight w:val="170"/>
        </w:trPr>
        <w:tc>
          <w:tcPr>
            <w:tcW w:w="860"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 xml:space="preserve">+25 % Mezní </w:t>
            </w:r>
            <w:r w:rsidRPr="00060D89">
              <w:rPr>
                <w:rFonts w:ascii="Times New Roman" w:eastAsia="SimSun" w:hAnsi="Times New Roman"/>
                <w:color w:val="000000"/>
                <w:spacing w:val="0"/>
                <w:sz w:val="12"/>
                <w:szCs w:val="12"/>
              </w:rPr>
              <w:t>hodnota</w:t>
            </w:r>
          </w:p>
        </w:tc>
        <w:tc>
          <w:tcPr>
            <w:tcW w:w="252"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3"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2"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3</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47</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6</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44</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3</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47</w:t>
            </w:r>
          </w:p>
        </w:tc>
        <w:tc>
          <w:tcPr>
            <w:tcW w:w="249"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4</w:t>
            </w:r>
          </w:p>
        </w:tc>
        <w:tc>
          <w:tcPr>
            <w:tcW w:w="25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46</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45</w:t>
            </w:r>
          </w:p>
        </w:tc>
        <w:tc>
          <w:tcPr>
            <w:tcW w:w="251"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34"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r>
      <w:tr w:rsidR="00872005" w:rsidTr="006239F1">
        <w:trPr>
          <w:trHeight w:val="170"/>
        </w:trPr>
        <w:tc>
          <w:tcPr>
            <w:tcW w:w="860"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+50 % Mezní hodnota</w:t>
            </w:r>
          </w:p>
        </w:tc>
        <w:tc>
          <w:tcPr>
            <w:tcW w:w="252"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3"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2"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34"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r>
      <w:tr w:rsidR="00872005" w:rsidTr="006239F1">
        <w:trPr>
          <w:trHeight w:val="170"/>
        </w:trPr>
        <w:tc>
          <w:tcPr>
            <w:tcW w:w="860"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+75 % Mezní hodnota</w:t>
            </w:r>
          </w:p>
        </w:tc>
        <w:tc>
          <w:tcPr>
            <w:tcW w:w="252"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3"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2"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34"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r>
      <w:tr w:rsidR="00872005" w:rsidTr="006239F1">
        <w:trPr>
          <w:trHeight w:val="170"/>
        </w:trPr>
        <w:tc>
          <w:tcPr>
            <w:tcW w:w="860" w:type="dxa"/>
            <w:tcBorders>
              <w:bottom w:val="single" w:sz="4" w:space="0" w:color="auto"/>
            </w:tcBorders>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+100 % Mezní hodnota</w:t>
            </w:r>
          </w:p>
        </w:tc>
        <w:tc>
          <w:tcPr>
            <w:tcW w:w="252"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3"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2"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9"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tcBorders>
              <w:bottom w:val="single" w:sz="4" w:space="0" w:color="auto"/>
            </w:tcBorders>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tcBorders>
              <w:bottom w:val="single" w:sz="4" w:space="0" w:color="auto"/>
            </w:tcBorders>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tcBorders>
              <w:bottom w:val="single" w:sz="4" w:space="0" w:color="auto"/>
            </w:tcBorders>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34" w:type="dxa"/>
            <w:tcBorders>
              <w:bottom w:val="single" w:sz="4" w:space="0" w:color="auto"/>
            </w:tcBorders>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50</w:t>
            </w:r>
          </w:p>
        </w:tc>
      </w:tr>
    </w:tbl>
    <w:p w:rsidR="00ED79DB" w:rsidRPr="00060D89" w:rsidRDefault="00ED79DB" w:rsidP="00ED79DB">
      <w:pPr>
        <w:spacing w:line="60" w:lineRule="exact"/>
        <w:rPr>
          <w:rFonts w:ascii="Times New Roman" w:hAnsi="Times New Roman"/>
          <w:color w:val="000000"/>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 w:type="dxa"/>
          <w:right w:w="14" w:type="dxa"/>
        </w:tblCellMar>
        <w:tblLook w:val="0000" w:firstRow="0" w:lastRow="0" w:firstColumn="0" w:lastColumn="0" w:noHBand="0" w:noVBand="0"/>
      </w:tblPr>
      <w:tblGrid>
        <w:gridCol w:w="866"/>
        <w:gridCol w:w="250"/>
        <w:gridCol w:w="250"/>
        <w:gridCol w:w="250"/>
        <w:gridCol w:w="250"/>
        <w:gridCol w:w="250"/>
        <w:gridCol w:w="251"/>
        <w:gridCol w:w="250"/>
        <w:gridCol w:w="250"/>
        <w:gridCol w:w="250"/>
        <w:gridCol w:w="250"/>
        <w:gridCol w:w="251"/>
        <w:gridCol w:w="250"/>
        <w:gridCol w:w="251"/>
        <w:gridCol w:w="251"/>
        <w:gridCol w:w="251"/>
        <w:gridCol w:w="248"/>
      </w:tblGrid>
      <w:tr w:rsidR="00872005" w:rsidTr="006239F1">
        <w:trPr>
          <w:trHeight w:val="170"/>
        </w:trPr>
        <w:tc>
          <w:tcPr>
            <w:tcW w:w="866" w:type="dxa"/>
            <w:vMerge w:val="restart"/>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 xml:space="preserve">Koncentrace léčiva </w:t>
            </w:r>
          </w:p>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SimSun" w:hAnsi="Times New Roman"/>
                <w:b/>
                <w:color w:val="000000"/>
                <w:spacing w:val="0"/>
                <w:sz w:val="12"/>
                <w:szCs w:val="12"/>
              </w:rPr>
            </w:pPr>
            <w:r w:rsidRPr="00060D89">
              <w:rPr>
                <w:rFonts w:ascii="Times New Roman" w:eastAsia="Times New Roman" w:hAnsi="Times New Roman"/>
                <w:b/>
                <w:color w:val="000000"/>
                <w:spacing w:val="0"/>
                <w:sz w:val="12"/>
                <w:szCs w:val="12"/>
              </w:rPr>
              <w:t>(Hranice)</w:t>
            </w:r>
          </w:p>
        </w:tc>
        <w:tc>
          <w:tcPr>
            <w:tcW w:w="500"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THC 25</w:t>
            </w:r>
          </w:p>
        </w:tc>
        <w:tc>
          <w:tcPr>
            <w:tcW w:w="500"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EDDP</w:t>
            </w:r>
          </w:p>
        </w:tc>
        <w:tc>
          <w:tcPr>
            <w:tcW w:w="501"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EDDP 100</w:t>
            </w:r>
          </w:p>
        </w:tc>
        <w:tc>
          <w:tcPr>
            <w:tcW w:w="500"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MTD</w:t>
            </w:r>
          </w:p>
        </w:tc>
        <w:tc>
          <w:tcPr>
            <w:tcW w:w="500" w:type="dxa"/>
            <w:gridSpan w:val="2"/>
            <w:vAlign w:val="center"/>
          </w:tcPr>
          <w:p w:rsidR="00ED79DB" w:rsidRPr="00060D89" w:rsidRDefault="007270C2" w:rsidP="006239F1">
            <w:pPr>
              <w:jc w:val="center"/>
              <w:rPr>
                <w:rFonts w:ascii="Times New Roman" w:hAnsi="Times New Roman"/>
                <w:b/>
                <w:color w:val="000000"/>
                <w:spacing w:val="-4"/>
                <w:sz w:val="12"/>
                <w:szCs w:val="12"/>
              </w:rPr>
            </w:pPr>
            <w:r w:rsidRPr="00060D89">
              <w:rPr>
                <w:rFonts w:ascii="Times New Roman" w:hAnsi="Times New Roman"/>
                <w:b/>
                <w:color w:val="000000"/>
                <w:spacing w:val="-4"/>
                <w:sz w:val="12"/>
                <w:szCs w:val="12"/>
              </w:rPr>
              <w:t>MTD 200</w:t>
            </w:r>
          </w:p>
        </w:tc>
        <w:tc>
          <w:tcPr>
            <w:tcW w:w="501"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MET</w:t>
            </w:r>
          </w:p>
        </w:tc>
        <w:tc>
          <w:tcPr>
            <w:tcW w:w="502" w:type="dxa"/>
            <w:gridSpan w:val="2"/>
            <w:vAlign w:val="center"/>
          </w:tcPr>
          <w:p w:rsidR="00ED79DB" w:rsidRPr="00060D89" w:rsidRDefault="007270C2" w:rsidP="006239F1">
            <w:pPr>
              <w:jc w:val="center"/>
              <w:rPr>
                <w:rFonts w:ascii="Times New Roman" w:hAnsi="Times New Roman"/>
                <w:b/>
                <w:color w:val="000000"/>
                <w:spacing w:val="-2"/>
                <w:sz w:val="12"/>
                <w:szCs w:val="12"/>
              </w:rPr>
            </w:pPr>
            <w:r w:rsidRPr="00060D89">
              <w:rPr>
                <w:rFonts w:ascii="Times New Roman" w:hAnsi="Times New Roman"/>
                <w:b/>
                <w:color w:val="000000"/>
                <w:spacing w:val="-2"/>
                <w:sz w:val="12"/>
                <w:szCs w:val="12"/>
              </w:rPr>
              <w:t>MET 500</w:t>
            </w:r>
          </w:p>
        </w:tc>
        <w:tc>
          <w:tcPr>
            <w:tcW w:w="499" w:type="dxa"/>
            <w:gridSpan w:val="2"/>
            <w:vAlign w:val="center"/>
          </w:tcPr>
          <w:p w:rsidR="00ED79DB" w:rsidRPr="00060D89" w:rsidRDefault="007270C2" w:rsidP="006239F1">
            <w:pPr>
              <w:jc w:val="center"/>
              <w:rPr>
                <w:rFonts w:ascii="Times New Roman" w:hAnsi="Times New Roman"/>
                <w:b/>
                <w:color w:val="000000"/>
                <w:spacing w:val="-2"/>
                <w:sz w:val="12"/>
                <w:szCs w:val="12"/>
              </w:rPr>
            </w:pPr>
            <w:r w:rsidRPr="00060D89">
              <w:rPr>
                <w:rFonts w:ascii="Times New Roman" w:hAnsi="Times New Roman"/>
                <w:b/>
                <w:color w:val="000000"/>
                <w:spacing w:val="-2"/>
                <w:sz w:val="12"/>
                <w:szCs w:val="12"/>
              </w:rPr>
              <w:t>MET 300</w:t>
            </w:r>
          </w:p>
        </w:tc>
      </w:tr>
      <w:tr w:rsidR="00872005" w:rsidTr="006239F1">
        <w:trPr>
          <w:trHeight w:val="170"/>
        </w:trPr>
        <w:tc>
          <w:tcPr>
            <w:tcW w:w="866" w:type="dxa"/>
            <w:vMerge/>
            <w:vAlign w:val="center"/>
          </w:tcPr>
          <w:p w:rsidR="00ED79DB" w:rsidRPr="00060D89" w:rsidRDefault="00ED79DB"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bCs/>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bCs/>
                <w:color w:val="000000"/>
                <w:spacing w:val="0"/>
                <w:sz w:val="12"/>
                <w:szCs w:val="12"/>
              </w:rPr>
            </w:pPr>
            <w:r w:rsidRPr="00060D89">
              <w:rPr>
                <w:rFonts w:ascii="Times New Roman" w:eastAsia="Times New Roman" w:hAnsi="Times New Roman"/>
                <w:b/>
                <w:bCs/>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bCs/>
                <w:color w:val="000000"/>
                <w:spacing w:val="0"/>
                <w:sz w:val="12"/>
                <w:szCs w:val="12"/>
              </w:rPr>
            </w:pPr>
            <w:r w:rsidRPr="00060D89">
              <w:rPr>
                <w:rFonts w:ascii="Times New Roman" w:eastAsia="Times New Roman" w:hAnsi="Times New Roman"/>
                <w:b/>
                <w:bCs/>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bCs/>
                <w:color w:val="000000"/>
                <w:spacing w:val="0"/>
                <w:sz w:val="12"/>
                <w:szCs w:val="12"/>
              </w:rPr>
            </w:pPr>
            <w:r w:rsidRPr="00060D89">
              <w:rPr>
                <w:rFonts w:ascii="Times New Roman" w:eastAsia="Times New Roman" w:hAnsi="Times New Roman"/>
                <w:b/>
                <w:bCs/>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bCs/>
                <w:color w:val="000000"/>
                <w:spacing w:val="0"/>
                <w:sz w:val="12"/>
                <w:szCs w:val="12"/>
              </w:rPr>
            </w:pPr>
            <w:r w:rsidRPr="00060D89">
              <w:rPr>
                <w:rFonts w:ascii="Times New Roman" w:eastAsia="Times New Roman" w:hAnsi="Times New Roman"/>
                <w:b/>
                <w:bCs/>
                <w:color w:val="000000"/>
                <w:spacing w:val="0"/>
                <w:sz w:val="12"/>
                <w:szCs w:val="12"/>
              </w:rPr>
              <w:t>-</w:t>
            </w:r>
          </w:p>
        </w:tc>
        <w:tc>
          <w:tcPr>
            <w:tcW w:w="248"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bCs/>
                <w:color w:val="000000"/>
                <w:spacing w:val="0"/>
                <w:sz w:val="12"/>
                <w:szCs w:val="12"/>
              </w:rPr>
            </w:pPr>
            <w:r w:rsidRPr="00060D89">
              <w:rPr>
                <w:rFonts w:ascii="Times New Roman" w:eastAsia="Times New Roman" w:hAnsi="Times New Roman"/>
                <w:b/>
                <w:bCs/>
                <w:color w:val="000000"/>
                <w:spacing w:val="0"/>
                <w:sz w:val="12"/>
                <w:szCs w:val="12"/>
              </w:rPr>
              <w:t>+</w:t>
            </w:r>
          </w:p>
        </w:tc>
      </w:tr>
      <w:tr w:rsidR="00872005" w:rsidTr="006239F1">
        <w:trPr>
          <w:trHeight w:val="170"/>
        </w:trPr>
        <w:tc>
          <w:tcPr>
            <w:tcW w:w="866"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0 % Mezní hodnota</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8"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trPr>
        <w:tc>
          <w:tcPr>
            <w:tcW w:w="866"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-75 % Mezní hodnota</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8"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trPr>
        <w:tc>
          <w:tcPr>
            <w:tcW w:w="866"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-50 % Mezní hodnota</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8"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trPr>
        <w:tc>
          <w:tcPr>
            <w:tcW w:w="866"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-25 % Mezní hodnota</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41</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9</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8"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trPr>
        <w:tc>
          <w:tcPr>
            <w:tcW w:w="866"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Hranice</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23</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27</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21</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29</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30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28</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22</w:t>
            </w:r>
          </w:p>
        </w:tc>
        <w:tc>
          <w:tcPr>
            <w:tcW w:w="25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28</w:t>
            </w:r>
          </w:p>
        </w:tc>
        <w:tc>
          <w:tcPr>
            <w:tcW w:w="250" w:type="dxa"/>
            <w:vAlign w:val="center"/>
          </w:tcPr>
          <w:p w:rsidR="00ED79DB" w:rsidRPr="00060D89" w:rsidRDefault="007270C2" w:rsidP="006239F1">
            <w:pPr>
              <w:spacing w:line="0" w:lineRule="atLeast"/>
              <w:jc w:val="center"/>
              <w:rPr>
                <w:rFonts w:ascii="Times New Roman" w:hAnsi="Times New Roman"/>
                <w:color w:val="000000"/>
                <w:sz w:val="12"/>
                <w:szCs w:val="12"/>
              </w:rPr>
            </w:pPr>
            <w:r w:rsidRPr="00060D89">
              <w:rPr>
                <w:rFonts w:ascii="Times New Roman" w:hAnsi="Times New Roman"/>
                <w:color w:val="000000"/>
                <w:sz w:val="12"/>
                <w:szCs w:val="12"/>
              </w:rPr>
              <w:t>22</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24</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26</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25</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25</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25</w:t>
            </w:r>
          </w:p>
        </w:tc>
        <w:tc>
          <w:tcPr>
            <w:tcW w:w="248"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25</w:t>
            </w:r>
          </w:p>
        </w:tc>
      </w:tr>
      <w:tr w:rsidR="00872005" w:rsidTr="006239F1">
        <w:trPr>
          <w:trHeight w:val="170"/>
        </w:trPr>
        <w:tc>
          <w:tcPr>
            <w:tcW w:w="866"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+25 % Mezní hodnota</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3</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47</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8"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r>
      <w:tr w:rsidR="00872005" w:rsidTr="006239F1">
        <w:trPr>
          <w:trHeight w:val="170"/>
        </w:trPr>
        <w:tc>
          <w:tcPr>
            <w:tcW w:w="866"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+50 % Mezní hodnota</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8"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r>
      <w:tr w:rsidR="00872005" w:rsidTr="006239F1">
        <w:trPr>
          <w:trHeight w:val="170"/>
        </w:trPr>
        <w:tc>
          <w:tcPr>
            <w:tcW w:w="866"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+75 % Mezní hodnota</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8"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r>
      <w:tr w:rsidR="00872005" w:rsidTr="006239F1">
        <w:trPr>
          <w:trHeight w:val="170"/>
        </w:trPr>
        <w:tc>
          <w:tcPr>
            <w:tcW w:w="866" w:type="dxa"/>
            <w:tcBorders>
              <w:bottom w:val="single" w:sz="4" w:space="0" w:color="auto"/>
            </w:tcBorders>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+100 % Mezní hodnota</w:t>
            </w:r>
          </w:p>
        </w:tc>
        <w:tc>
          <w:tcPr>
            <w:tcW w:w="250"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8"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r>
    </w:tbl>
    <w:p w:rsidR="00ED79DB" w:rsidRPr="00060D89" w:rsidRDefault="00ED79DB" w:rsidP="00ED79DB">
      <w:pPr>
        <w:spacing w:line="60" w:lineRule="exact"/>
        <w:rPr>
          <w:rFonts w:ascii="Times New Roman" w:hAnsi="Times New Roman"/>
          <w:color w:val="000000"/>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5"/>
        <w:gridCol w:w="249"/>
        <w:gridCol w:w="250"/>
        <w:gridCol w:w="250"/>
        <w:gridCol w:w="250"/>
        <w:gridCol w:w="249"/>
        <w:gridCol w:w="250"/>
        <w:gridCol w:w="250"/>
        <w:gridCol w:w="250"/>
        <w:gridCol w:w="249"/>
        <w:gridCol w:w="250"/>
        <w:gridCol w:w="250"/>
        <w:gridCol w:w="251"/>
        <w:gridCol w:w="250"/>
        <w:gridCol w:w="251"/>
        <w:gridCol w:w="251"/>
        <w:gridCol w:w="246"/>
      </w:tblGrid>
      <w:tr w:rsidR="00872005" w:rsidTr="006239F1">
        <w:trPr>
          <w:trHeight w:val="170"/>
        </w:trPr>
        <w:tc>
          <w:tcPr>
            <w:tcW w:w="855" w:type="dxa"/>
            <w:vMerge w:val="restart"/>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 xml:space="preserve">Koncentrace léčiva </w:t>
            </w:r>
          </w:p>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SimSun" w:hAnsi="Times New Roman"/>
                <w:b/>
                <w:color w:val="000000"/>
                <w:spacing w:val="0"/>
                <w:sz w:val="12"/>
                <w:szCs w:val="12"/>
              </w:rPr>
            </w:pPr>
            <w:r w:rsidRPr="00060D89">
              <w:rPr>
                <w:rFonts w:ascii="Times New Roman" w:eastAsia="Times New Roman" w:hAnsi="Times New Roman"/>
                <w:b/>
                <w:color w:val="000000"/>
                <w:spacing w:val="0"/>
                <w:sz w:val="12"/>
                <w:szCs w:val="12"/>
              </w:rPr>
              <w:t>(Rozmezí cut-off)</w:t>
            </w:r>
          </w:p>
        </w:tc>
        <w:tc>
          <w:tcPr>
            <w:tcW w:w="499"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MQL</w:t>
            </w:r>
          </w:p>
        </w:tc>
        <w:tc>
          <w:tcPr>
            <w:tcW w:w="500"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MTC</w:t>
            </w:r>
          </w:p>
        </w:tc>
        <w:tc>
          <w:tcPr>
            <w:tcW w:w="499"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MDPV</w:t>
            </w:r>
          </w:p>
        </w:tc>
        <w:tc>
          <w:tcPr>
            <w:tcW w:w="500" w:type="dxa"/>
            <w:gridSpan w:val="2"/>
            <w:vAlign w:val="center"/>
          </w:tcPr>
          <w:p w:rsidR="00ED79DB" w:rsidRPr="00060D89" w:rsidRDefault="007270C2" w:rsidP="006239F1">
            <w:pPr>
              <w:jc w:val="center"/>
              <w:rPr>
                <w:rFonts w:ascii="Times New Roman" w:hAnsi="Times New Roman"/>
                <w:b/>
                <w:color w:val="000000"/>
                <w:spacing w:val="-4"/>
                <w:sz w:val="12"/>
                <w:szCs w:val="12"/>
              </w:rPr>
            </w:pPr>
            <w:r w:rsidRPr="00060D89">
              <w:rPr>
                <w:rFonts w:ascii="Times New Roman" w:hAnsi="Times New Roman"/>
                <w:b/>
                <w:color w:val="000000"/>
                <w:spacing w:val="-4"/>
                <w:sz w:val="12"/>
                <w:szCs w:val="12"/>
              </w:rPr>
              <w:t>MPD</w:t>
            </w:r>
          </w:p>
        </w:tc>
        <w:tc>
          <w:tcPr>
            <w:tcW w:w="499"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6-MAM</w:t>
            </w:r>
          </w:p>
        </w:tc>
        <w:tc>
          <w:tcPr>
            <w:tcW w:w="501" w:type="dxa"/>
            <w:gridSpan w:val="2"/>
            <w:vAlign w:val="center"/>
          </w:tcPr>
          <w:p w:rsidR="00ED79DB" w:rsidRPr="00060D89" w:rsidRDefault="007270C2" w:rsidP="006239F1">
            <w:pPr>
              <w:jc w:val="center"/>
              <w:rPr>
                <w:rFonts w:ascii="Times New Roman" w:hAnsi="Times New Roman"/>
                <w:b/>
                <w:color w:val="000000"/>
                <w:spacing w:val="-8"/>
                <w:sz w:val="12"/>
                <w:szCs w:val="12"/>
              </w:rPr>
            </w:pPr>
            <w:r w:rsidRPr="00060D89">
              <w:rPr>
                <w:rFonts w:ascii="Times New Roman" w:hAnsi="Times New Roman"/>
                <w:b/>
                <w:color w:val="000000"/>
                <w:spacing w:val="-8"/>
                <w:sz w:val="12"/>
                <w:szCs w:val="12"/>
              </w:rPr>
              <w:t>6-MAM20</w:t>
            </w:r>
          </w:p>
        </w:tc>
        <w:tc>
          <w:tcPr>
            <w:tcW w:w="501"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MOP</w:t>
            </w:r>
          </w:p>
        </w:tc>
        <w:tc>
          <w:tcPr>
            <w:tcW w:w="497"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OPI</w:t>
            </w:r>
          </w:p>
        </w:tc>
      </w:tr>
      <w:tr w:rsidR="00872005" w:rsidTr="006239F1">
        <w:trPr>
          <w:trHeight w:val="170"/>
        </w:trPr>
        <w:tc>
          <w:tcPr>
            <w:tcW w:w="855" w:type="dxa"/>
            <w:vMerge/>
            <w:vAlign w:val="center"/>
          </w:tcPr>
          <w:p w:rsidR="00ED79DB" w:rsidRPr="00060D89" w:rsidRDefault="00ED79DB"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p>
        </w:tc>
        <w:tc>
          <w:tcPr>
            <w:tcW w:w="249"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49"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49"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Cs/>
                <w:color w:val="000000"/>
                <w:spacing w:val="0"/>
                <w:sz w:val="12"/>
                <w:szCs w:val="12"/>
              </w:rPr>
            </w:pPr>
            <w:r w:rsidRPr="00060D89">
              <w:rPr>
                <w:rFonts w:ascii="Times New Roman" w:eastAsia="Times New Roman" w:hAnsi="Times New Roman"/>
                <w:bCs/>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Cs/>
                <w:color w:val="000000"/>
                <w:spacing w:val="0"/>
                <w:sz w:val="12"/>
                <w:szCs w:val="12"/>
              </w:rPr>
            </w:pPr>
            <w:r w:rsidRPr="00060D89">
              <w:rPr>
                <w:rFonts w:ascii="Times New Roman" w:eastAsia="Times New Roman" w:hAnsi="Times New Roman"/>
                <w:bCs/>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Cs/>
                <w:color w:val="000000"/>
                <w:spacing w:val="0"/>
                <w:sz w:val="12"/>
                <w:szCs w:val="12"/>
              </w:rPr>
            </w:pPr>
            <w:r w:rsidRPr="00060D89">
              <w:rPr>
                <w:rFonts w:ascii="Times New Roman" w:eastAsia="Times New Roman" w:hAnsi="Times New Roman"/>
                <w:b/>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Cs/>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Cs/>
                <w:color w:val="000000"/>
                <w:spacing w:val="0"/>
                <w:sz w:val="12"/>
                <w:szCs w:val="12"/>
              </w:rPr>
              <w:t>-</w:t>
            </w:r>
          </w:p>
        </w:tc>
        <w:tc>
          <w:tcPr>
            <w:tcW w:w="246"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Cs/>
                <w:color w:val="000000"/>
                <w:spacing w:val="0"/>
                <w:sz w:val="12"/>
                <w:szCs w:val="12"/>
              </w:rPr>
              <w:t>+</w:t>
            </w:r>
          </w:p>
        </w:tc>
      </w:tr>
      <w:tr w:rsidR="00872005" w:rsidTr="006239F1">
        <w:trPr>
          <w:trHeight w:val="170"/>
        </w:trPr>
        <w:tc>
          <w:tcPr>
            <w:tcW w:w="855"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0 % Mezní hodnota</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6"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trPr>
        <w:tc>
          <w:tcPr>
            <w:tcW w:w="855"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-75 % Mezní hodnota</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6"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trPr>
        <w:tc>
          <w:tcPr>
            <w:tcW w:w="855"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-50 % Mezní hodnota</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6"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trPr>
        <w:tc>
          <w:tcPr>
            <w:tcW w:w="855"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-25 % Mezní hodnota</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48</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w:t>
            </w:r>
          </w:p>
        </w:tc>
        <w:tc>
          <w:tcPr>
            <w:tcW w:w="250" w:type="dxa"/>
            <w:vAlign w:val="center"/>
          </w:tcPr>
          <w:p w:rsidR="00ED79DB" w:rsidRPr="00060D89" w:rsidRDefault="007270C2" w:rsidP="006239F1">
            <w:pPr>
              <w:overflowPunct w:val="0"/>
              <w:autoSpaceDE w:val="0"/>
              <w:autoSpaceDN w:val="0"/>
              <w:adjustRightInd w:val="0"/>
              <w:spacing w:line="0" w:lineRule="atLeast"/>
              <w:jc w:val="center"/>
              <w:textAlignment w:val="baseline"/>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overflowPunct w:val="0"/>
              <w:autoSpaceDE w:val="0"/>
              <w:autoSpaceDN w:val="0"/>
              <w:adjustRightInd w:val="0"/>
              <w:spacing w:line="0" w:lineRule="atLeast"/>
              <w:jc w:val="center"/>
              <w:textAlignment w:val="baseline"/>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6"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trPr>
        <w:tc>
          <w:tcPr>
            <w:tcW w:w="855"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Hranice</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24</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26</w:t>
            </w:r>
          </w:p>
        </w:tc>
        <w:tc>
          <w:tcPr>
            <w:tcW w:w="250" w:type="dxa"/>
            <w:vAlign w:val="center"/>
          </w:tcPr>
          <w:p w:rsidR="00ED79DB" w:rsidRPr="00060D89" w:rsidRDefault="007270C2" w:rsidP="006239F1">
            <w:pPr>
              <w:overflowPunct w:val="0"/>
              <w:autoSpaceDE w:val="0"/>
              <w:autoSpaceDN w:val="0"/>
              <w:adjustRightInd w:val="0"/>
              <w:jc w:val="center"/>
              <w:textAlignment w:val="baseline"/>
              <w:rPr>
                <w:rFonts w:ascii="Times New Roman" w:hAnsi="Times New Roman"/>
                <w:color w:val="000000"/>
                <w:sz w:val="12"/>
                <w:szCs w:val="12"/>
              </w:rPr>
            </w:pPr>
            <w:r w:rsidRPr="00060D89">
              <w:rPr>
                <w:rFonts w:ascii="Times New Roman" w:hAnsi="Times New Roman"/>
                <w:color w:val="000000"/>
                <w:spacing w:val="-4"/>
                <w:kern w:val="0"/>
                <w:sz w:val="12"/>
                <w:szCs w:val="12"/>
              </w:rPr>
              <w:t>27</w:t>
            </w:r>
          </w:p>
        </w:tc>
        <w:tc>
          <w:tcPr>
            <w:tcW w:w="250" w:type="dxa"/>
            <w:vAlign w:val="center"/>
          </w:tcPr>
          <w:p w:rsidR="00ED79DB" w:rsidRPr="00060D89" w:rsidRDefault="007270C2" w:rsidP="006239F1">
            <w:pPr>
              <w:overflowPunct w:val="0"/>
              <w:autoSpaceDE w:val="0"/>
              <w:autoSpaceDN w:val="0"/>
              <w:adjustRightInd w:val="0"/>
              <w:jc w:val="center"/>
              <w:textAlignment w:val="baseline"/>
              <w:rPr>
                <w:rFonts w:ascii="Times New Roman" w:hAnsi="Times New Roman"/>
                <w:color w:val="000000"/>
                <w:sz w:val="12"/>
                <w:szCs w:val="12"/>
              </w:rPr>
            </w:pPr>
            <w:r w:rsidRPr="00060D89">
              <w:rPr>
                <w:rFonts w:ascii="Times New Roman" w:hAnsi="Times New Roman"/>
                <w:color w:val="000000"/>
                <w:spacing w:val="-4"/>
                <w:kern w:val="0"/>
                <w:sz w:val="12"/>
                <w:szCs w:val="12"/>
              </w:rPr>
              <w:t>23</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24</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26</w:t>
            </w:r>
          </w:p>
        </w:tc>
        <w:tc>
          <w:tcPr>
            <w:tcW w:w="250" w:type="dxa"/>
            <w:vAlign w:val="center"/>
          </w:tcPr>
          <w:p w:rsidR="00ED79DB" w:rsidRPr="00060D89" w:rsidRDefault="007270C2" w:rsidP="006239F1">
            <w:pPr>
              <w:overflowPunct w:val="0"/>
              <w:autoSpaceDE w:val="0"/>
              <w:autoSpaceDN w:val="0"/>
              <w:adjustRightInd w:val="0"/>
              <w:spacing w:line="0" w:lineRule="atLeast"/>
              <w:jc w:val="center"/>
              <w:textAlignment w:val="baseline"/>
              <w:rPr>
                <w:rFonts w:ascii="Times New Roman" w:hAnsi="Times New Roman"/>
                <w:color w:val="000000"/>
                <w:sz w:val="12"/>
                <w:szCs w:val="12"/>
              </w:rPr>
            </w:pPr>
            <w:r w:rsidRPr="00060D89">
              <w:rPr>
                <w:rFonts w:ascii="Times New Roman" w:hAnsi="Times New Roman"/>
                <w:color w:val="000000"/>
                <w:sz w:val="12"/>
                <w:szCs w:val="12"/>
              </w:rPr>
              <w:t>23</w:t>
            </w:r>
          </w:p>
        </w:tc>
        <w:tc>
          <w:tcPr>
            <w:tcW w:w="250" w:type="dxa"/>
            <w:vAlign w:val="center"/>
          </w:tcPr>
          <w:p w:rsidR="00ED79DB" w:rsidRPr="00060D89" w:rsidRDefault="007270C2" w:rsidP="006239F1">
            <w:pPr>
              <w:overflowPunct w:val="0"/>
              <w:autoSpaceDE w:val="0"/>
              <w:autoSpaceDN w:val="0"/>
              <w:adjustRightInd w:val="0"/>
              <w:spacing w:line="0" w:lineRule="atLeast"/>
              <w:jc w:val="center"/>
              <w:textAlignment w:val="baseline"/>
              <w:rPr>
                <w:rFonts w:ascii="Times New Roman" w:hAnsi="Times New Roman"/>
                <w:color w:val="000000"/>
                <w:sz w:val="12"/>
                <w:szCs w:val="12"/>
              </w:rPr>
            </w:pPr>
            <w:r w:rsidRPr="00060D89">
              <w:rPr>
                <w:rFonts w:ascii="Times New Roman" w:hAnsi="Times New Roman"/>
                <w:color w:val="000000"/>
                <w:sz w:val="12"/>
                <w:szCs w:val="12"/>
              </w:rPr>
              <w:t>27</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23</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27</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24</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26</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22</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28</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22</w:t>
            </w:r>
          </w:p>
        </w:tc>
        <w:tc>
          <w:tcPr>
            <w:tcW w:w="246"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28</w:t>
            </w:r>
          </w:p>
        </w:tc>
      </w:tr>
      <w:tr w:rsidR="00872005" w:rsidTr="006239F1">
        <w:trPr>
          <w:trHeight w:val="170"/>
        </w:trPr>
        <w:tc>
          <w:tcPr>
            <w:tcW w:w="855"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+25 % Mezní hodnota</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6</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44</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7</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43</w:t>
            </w:r>
          </w:p>
        </w:tc>
        <w:tc>
          <w:tcPr>
            <w:tcW w:w="250" w:type="dxa"/>
            <w:vAlign w:val="center"/>
          </w:tcPr>
          <w:p w:rsidR="00ED79DB" w:rsidRPr="00060D89" w:rsidRDefault="007270C2" w:rsidP="006239F1">
            <w:pPr>
              <w:overflowPunct w:val="0"/>
              <w:autoSpaceDE w:val="0"/>
              <w:autoSpaceDN w:val="0"/>
              <w:adjustRightInd w:val="0"/>
              <w:spacing w:line="0" w:lineRule="atLeast"/>
              <w:jc w:val="center"/>
              <w:textAlignment w:val="baseline"/>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overflowPunct w:val="0"/>
              <w:autoSpaceDE w:val="0"/>
              <w:autoSpaceDN w:val="0"/>
              <w:adjustRightInd w:val="0"/>
              <w:spacing w:line="0" w:lineRule="atLeast"/>
              <w:jc w:val="center"/>
              <w:textAlignment w:val="baseline"/>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45</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6"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r>
      <w:tr w:rsidR="00872005" w:rsidTr="006239F1">
        <w:trPr>
          <w:trHeight w:val="170"/>
        </w:trPr>
        <w:tc>
          <w:tcPr>
            <w:tcW w:w="855"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+50 % Mezní hodnota</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6"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r>
      <w:tr w:rsidR="00872005" w:rsidTr="006239F1">
        <w:trPr>
          <w:trHeight w:val="170"/>
        </w:trPr>
        <w:tc>
          <w:tcPr>
            <w:tcW w:w="855"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+75 % Mezní hodnota</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6"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r>
      <w:tr w:rsidR="00872005" w:rsidTr="006239F1">
        <w:trPr>
          <w:trHeight w:val="170"/>
        </w:trPr>
        <w:tc>
          <w:tcPr>
            <w:tcW w:w="855" w:type="dxa"/>
            <w:tcBorders>
              <w:bottom w:val="single" w:sz="4" w:space="0" w:color="auto"/>
            </w:tcBorders>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+100 % Mezní hodnota</w:t>
            </w:r>
          </w:p>
        </w:tc>
        <w:tc>
          <w:tcPr>
            <w:tcW w:w="249"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tcBorders>
              <w:bottom w:val="single" w:sz="4" w:space="0" w:color="auto"/>
            </w:tcBorders>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6" w:type="dxa"/>
            <w:tcBorders>
              <w:bottom w:val="single" w:sz="4" w:space="0" w:color="auto"/>
            </w:tcBorders>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r>
    </w:tbl>
    <w:p w:rsidR="00ED79DB" w:rsidRPr="00060D89" w:rsidRDefault="00ED79DB" w:rsidP="00ED79DB">
      <w:pPr>
        <w:spacing w:line="60" w:lineRule="exact"/>
        <w:rPr>
          <w:rFonts w:ascii="Times New Roman" w:hAnsi="Times New Roman"/>
          <w:color w:val="000000"/>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5"/>
        <w:gridCol w:w="249"/>
        <w:gridCol w:w="250"/>
        <w:gridCol w:w="250"/>
        <w:gridCol w:w="250"/>
        <w:gridCol w:w="249"/>
        <w:gridCol w:w="250"/>
        <w:gridCol w:w="250"/>
        <w:gridCol w:w="250"/>
        <w:gridCol w:w="249"/>
        <w:gridCol w:w="250"/>
        <w:gridCol w:w="250"/>
        <w:gridCol w:w="251"/>
        <w:gridCol w:w="250"/>
        <w:gridCol w:w="251"/>
        <w:gridCol w:w="251"/>
        <w:gridCol w:w="246"/>
      </w:tblGrid>
      <w:tr w:rsidR="00872005" w:rsidTr="006239F1">
        <w:trPr>
          <w:trHeight w:val="170"/>
        </w:trPr>
        <w:tc>
          <w:tcPr>
            <w:tcW w:w="855" w:type="dxa"/>
            <w:vMerge w:val="restart"/>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 xml:space="preserve">Koncentrace léčiva </w:t>
            </w:r>
          </w:p>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SimSun" w:hAnsi="Times New Roman"/>
                <w:b/>
                <w:color w:val="000000"/>
                <w:spacing w:val="0"/>
                <w:sz w:val="12"/>
                <w:szCs w:val="12"/>
              </w:rPr>
            </w:pPr>
            <w:r w:rsidRPr="00060D89">
              <w:rPr>
                <w:rFonts w:ascii="Times New Roman" w:eastAsia="Times New Roman" w:hAnsi="Times New Roman"/>
                <w:b/>
                <w:color w:val="000000"/>
                <w:spacing w:val="0"/>
                <w:sz w:val="12"/>
                <w:szCs w:val="12"/>
              </w:rPr>
              <w:t>(Rozmezí pro vyřazení)</w:t>
            </w:r>
          </w:p>
        </w:tc>
        <w:tc>
          <w:tcPr>
            <w:tcW w:w="499"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OXY</w:t>
            </w:r>
          </w:p>
        </w:tc>
        <w:tc>
          <w:tcPr>
            <w:tcW w:w="500"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PCP</w:t>
            </w:r>
          </w:p>
        </w:tc>
        <w:tc>
          <w:tcPr>
            <w:tcW w:w="499"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PGB</w:t>
            </w:r>
          </w:p>
        </w:tc>
        <w:tc>
          <w:tcPr>
            <w:tcW w:w="500" w:type="dxa"/>
            <w:gridSpan w:val="2"/>
            <w:vAlign w:val="center"/>
          </w:tcPr>
          <w:p w:rsidR="00ED79DB" w:rsidRPr="00060D89" w:rsidRDefault="007270C2" w:rsidP="006239F1">
            <w:pPr>
              <w:jc w:val="center"/>
              <w:rPr>
                <w:rFonts w:ascii="Times New Roman" w:hAnsi="Times New Roman"/>
                <w:b/>
                <w:color w:val="000000"/>
                <w:spacing w:val="-4"/>
                <w:sz w:val="12"/>
                <w:szCs w:val="12"/>
              </w:rPr>
            </w:pPr>
            <w:r w:rsidRPr="00060D89">
              <w:rPr>
                <w:rFonts w:ascii="Times New Roman" w:hAnsi="Times New Roman"/>
                <w:b/>
                <w:color w:val="000000"/>
                <w:spacing w:val="-4"/>
                <w:sz w:val="12"/>
                <w:szCs w:val="12"/>
              </w:rPr>
              <w:t>PGB 500</w:t>
            </w:r>
          </w:p>
        </w:tc>
        <w:tc>
          <w:tcPr>
            <w:tcW w:w="499"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PPX</w:t>
            </w:r>
          </w:p>
        </w:tc>
        <w:tc>
          <w:tcPr>
            <w:tcW w:w="501"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UR-144</w:t>
            </w:r>
          </w:p>
        </w:tc>
        <w:tc>
          <w:tcPr>
            <w:tcW w:w="501"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SOMA</w:t>
            </w:r>
          </w:p>
        </w:tc>
        <w:tc>
          <w:tcPr>
            <w:tcW w:w="497" w:type="dxa"/>
            <w:gridSpan w:val="2"/>
            <w:vAlign w:val="center"/>
          </w:tcPr>
          <w:p w:rsidR="00ED79DB" w:rsidRPr="00060D89" w:rsidRDefault="007270C2" w:rsidP="006239F1">
            <w:pPr>
              <w:jc w:val="center"/>
              <w:rPr>
                <w:rFonts w:ascii="Times New Roman" w:hAnsi="Times New Roman"/>
                <w:b/>
                <w:color w:val="000000"/>
                <w:sz w:val="12"/>
                <w:szCs w:val="12"/>
              </w:rPr>
            </w:pPr>
            <w:r w:rsidRPr="00060D89">
              <w:rPr>
                <w:rFonts w:ascii="Times New Roman" w:hAnsi="Times New Roman"/>
                <w:b/>
                <w:color w:val="000000"/>
                <w:sz w:val="12"/>
                <w:szCs w:val="12"/>
              </w:rPr>
              <w:t>TRA</w:t>
            </w:r>
          </w:p>
        </w:tc>
      </w:tr>
      <w:tr w:rsidR="00872005" w:rsidTr="006239F1">
        <w:trPr>
          <w:trHeight w:val="170"/>
        </w:trPr>
        <w:tc>
          <w:tcPr>
            <w:tcW w:w="855" w:type="dxa"/>
            <w:vMerge/>
            <w:vAlign w:val="center"/>
          </w:tcPr>
          <w:p w:rsidR="00ED79DB" w:rsidRPr="00060D89" w:rsidRDefault="00ED79DB"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p>
        </w:tc>
        <w:tc>
          <w:tcPr>
            <w:tcW w:w="249"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49"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49"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Cs/>
                <w:color w:val="000000"/>
                <w:spacing w:val="0"/>
                <w:sz w:val="12"/>
                <w:szCs w:val="12"/>
              </w:rPr>
            </w:pPr>
            <w:r w:rsidRPr="00060D89">
              <w:rPr>
                <w:rFonts w:ascii="Times New Roman" w:eastAsia="Times New Roman" w:hAnsi="Times New Roman"/>
                <w:bCs/>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Cs/>
                <w:color w:val="000000"/>
                <w:spacing w:val="0"/>
                <w:sz w:val="12"/>
                <w:szCs w:val="12"/>
              </w:rPr>
            </w:pPr>
            <w:r w:rsidRPr="00060D89">
              <w:rPr>
                <w:rFonts w:ascii="Times New Roman" w:eastAsia="Times New Roman" w:hAnsi="Times New Roman"/>
                <w:bCs/>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Cs/>
                <w:color w:val="000000"/>
                <w:spacing w:val="0"/>
                <w:sz w:val="12"/>
                <w:szCs w:val="12"/>
              </w:rPr>
            </w:pPr>
            <w:r w:rsidRPr="00060D89">
              <w:rPr>
                <w:rFonts w:ascii="Times New Roman" w:eastAsia="Times New Roman" w:hAnsi="Times New Roman"/>
                <w:b/>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Cs/>
                <w:color w:val="000000"/>
                <w:spacing w:val="0"/>
                <w:sz w:val="12"/>
                <w:szCs w:val="12"/>
              </w:rPr>
            </w:pPr>
            <w:r w:rsidRPr="00060D89">
              <w:rPr>
                <w:rFonts w:ascii="Times New Roman" w:eastAsia="Times New Roman" w:hAnsi="Times New Roman"/>
                <w:b/>
                <w:color w:val="000000"/>
                <w:spacing w:val="0"/>
                <w:sz w:val="12"/>
                <w:szCs w:val="12"/>
              </w:rPr>
              <w:t>+</w:t>
            </w:r>
          </w:p>
        </w:tc>
        <w:tc>
          <w:tcPr>
            <w:tcW w:w="250"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
                <w:color w:val="000000"/>
                <w:spacing w:val="0"/>
                <w:sz w:val="12"/>
                <w:szCs w:val="12"/>
              </w:rPr>
              <w:t>+</w:t>
            </w:r>
          </w:p>
        </w:tc>
        <w:tc>
          <w:tcPr>
            <w:tcW w:w="251"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Cs/>
                <w:color w:val="000000"/>
                <w:spacing w:val="0"/>
                <w:sz w:val="12"/>
                <w:szCs w:val="12"/>
              </w:rPr>
              <w:t>-</w:t>
            </w:r>
          </w:p>
        </w:tc>
        <w:tc>
          <w:tcPr>
            <w:tcW w:w="246" w:type="dxa"/>
            <w:vAlign w:val="center"/>
          </w:tcPr>
          <w:p w:rsidR="00ED79DB" w:rsidRPr="00060D89"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060D89">
              <w:rPr>
                <w:rFonts w:ascii="Times New Roman" w:eastAsia="Times New Roman" w:hAnsi="Times New Roman"/>
                <w:bCs/>
                <w:color w:val="000000"/>
                <w:spacing w:val="0"/>
                <w:sz w:val="12"/>
                <w:szCs w:val="12"/>
              </w:rPr>
              <w:t>+</w:t>
            </w:r>
          </w:p>
        </w:tc>
      </w:tr>
      <w:tr w:rsidR="00872005" w:rsidTr="006239F1">
        <w:trPr>
          <w:trHeight w:val="170"/>
        </w:trPr>
        <w:tc>
          <w:tcPr>
            <w:tcW w:w="855"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0 % Mezní hodnota</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6"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trPr>
        <w:tc>
          <w:tcPr>
            <w:tcW w:w="855"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-75 % Mezní hodnota</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6"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trPr>
        <w:tc>
          <w:tcPr>
            <w:tcW w:w="855"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-50 % Mezní hodnota</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6"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r>
      <w:tr w:rsidR="00872005" w:rsidTr="006239F1">
        <w:trPr>
          <w:trHeight w:val="170"/>
        </w:trPr>
        <w:tc>
          <w:tcPr>
            <w:tcW w:w="855"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-25 % Mezní hodnota</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47</w:t>
            </w:r>
          </w:p>
        </w:tc>
        <w:tc>
          <w:tcPr>
            <w:tcW w:w="246"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3</w:t>
            </w:r>
          </w:p>
        </w:tc>
      </w:tr>
      <w:tr w:rsidR="00872005" w:rsidTr="006239F1">
        <w:trPr>
          <w:trHeight w:val="170"/>
        </w:trPr>
        <w:tc>
          <w:tcPr>
            <w:tcW w:w="855"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Hranice</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24</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26</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22</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28</w:t>
            </w:r>
          </w:p>
        </w:tc>
        <w:tc>
          <w:tcPr>
            <w:tcW w:w="249"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24</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26</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23</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27</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26</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24</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27</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23</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lang w:eastAsia="zh-CN"/>
              </w:rPr>
              <w:t>26</w:t>
            </w:r>
          </w:p>
        </w:tc>
        <w:tc>
          <w:tcPr>
            <w:tcW w:w="251"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lang w:eastAsia="zh-CN"/>
              </w:rPr>
              <w:t>24</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25</w:t>
            </w:r>
          </w:p>
        </w:tc>
        <w:tc>
          <w:tcPr>
            <w:tcW w:w="246"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25</w:t>
            </w:r>
          </w:p>
        </w:tc>
      </w:tr>
      <w:tr w:rsidR="00872005" w:rsidTr="006239F1">
        <w:trPr>
          <w:trHeight w:val="170"/>
        </w:trPr>
        <w:tc>
          <w:tcPr>
            <w:tcW w:w="855"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+25 % Mezní hodnota</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1</w:t>
            </w:r>
          </w:p>
        </w:tc>
        <w:tc>
          <w:tcPr>
            <w:tcW w:w="246"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49</w:t>
            </w:r>
          </w:p>
        </w:tc>
      </w:tr>
      <w:tr w:rsidR="00872005" w:rsidTr="006239F1">
        <w:trPr>
          <w:trHeight w:val="170"/>
        </w:trPr>
        <w:tc>
          <w:tcPr>
            <w:tcW w:w="855"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+50 % Mezní hodnota</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6"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r>
      <w:tr w:rsidR="00872005" w:rsidTr="006239F1">
        <w:trPr>
          <w:trHeight w:val="170"/>
        </w:trPr>
        <w:tc>
          <w:tcPr>
            <w:tcW w:w="855" w:type="dxa"/>
            <w:vAlign w:val="center"/>
          </w:tcPr>
          <w:p w:rsidR="00ED79DB" w:rsidRPr="00060D89"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000000"/>
                <w:spacing w:val="0"/>
                <w:sz w:val="12"/>
                <w:szCs w:val="12"/>
              </w:rPr>
            </w:pPr>
            <w:r w:rsidRPr="00060D89">
              <w:rPr>
                <w:rFonts w:ascii="Times New Roman" w:eastAsia="SimSun" w:hAnsi="Times New Roman"/>
                <w:color w:val="000000"/>
                <w:spacing w:val="0"/>
                <w:sz w:val="12"/>
                <w:szCs w:val="12"/>
              </w:rPr>
              <w:t>+75 % Mezní hodnota</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49"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ED79DB" w:rsidRPr="00060D89" w:rsidRDefault="007270C2" w:rsidP="006239F1">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0"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c>
          <w:tcPr>
            <w:tcW w:w="251"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46" w:type="dxa"/>
            <w:vAlign w:val="center"/>
          </w:tcPr>
          <w:p w:rsidR="00ED79DB" w:rsidRPr="00060D89" w:rsidRDefault="007270C2" w:rsidP="006239F1">
            <w:pPr>
              <w:jc w:val="center"/>
              <w:rPr>
                <w:rFonts w:ascii="Times New Roman" w:hAnsi="Times New Roman"/>
                <w:color w:val="000000"/>
                <w:sz w:val="12"/>
                <w:szCs w:val="12"/>
              </w:rPr>
            </w:pPr>
            <w:r w:rsidRPr="00060D89">
              <w:rPr>
                <w:rFonts w:ascii="Times New Roman" w:hAnsi="Times New Roman"/>
                <w:color w:val="000000"/>
                <w:sz w:val="12"/>
                <w:szCs w:val="12"/>
              </w:rPr>
              <w:t>50</w:t>
            </w:r>
          </w:p>
        </w:tc>
      </w:tr>
      <w:tr w:rsidR="00872005" w:rsidTr="006239F1">
        <w:trPr>
          <w:trHeight w:val="170"/>
        </w:trPr>
        <w:tc>
          <w:tcPr>
            <w:tcW w:w="855" w:type="dxa"/>
            <w:tcBorders>
              <w:bottom w:val="single" w:sz="4" w:space="0" w:color="auto"/>
            </w:tcBorders>
            <w:vAlign w:val="center"/>
          </w:tcPr>
          <w:p w:rsidR="00ED79DB" w:rsidRPr="00ED79DB" w:rsidRDefault="007270C2" w:rsidP="006239F1">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auto"/>
                <w:spacing w:val="0"/>
                <w:sz w:val="12"/>
                <w:szCs w:val="12"/>
              </w:rPr>
            </w:pPr>
            <w:r w:rsidRPr="00ED79DB">
              <w:rPr>
                <w:rFonts w:ascii="Times New Roman" w:eastAsia="SimSun" w:hAnsi="Times New Roman"/>
                <w:color w:val="auto"/>
                <w:spacing w:val="0"/>
                <w:sz w:val="12"/>
                <w:szCs w:val="12"/>
              </w:rPr>
              <w:t>+100 % mezní hodnota</w:t>
            </w:r>
          </w:p>
        </w:tc>
        <w:tc>
          <w:tcPr>
            <w:tcW w:w="249" w:type="dxa"/>
            <w:tcBorders>
              <w:bottom w:val="single" w:sz="4" w:space="0" w:color="auto"/>
            </w:tcBorders>
            <w:vAlign w:val="center"/>
          </w:tcPr>
          <w:p w:rsidR="00ED79DB" w:rsidRPr="00ED79DB" w:rsidRDefault="007270C2" w:rsidP="006239F1">
            <w:pPr>
              <w:pStyle w:val="BodyText3"/>
              <w:spacing w:line="240" w:lineRule="auto"/>
              <w:ind w:right="0"/>
              <w:jc w:val="center"/>
              <w:rPr>
                <w:rFonts w:ascii="Times New Roman" w:hAnsi="Times New Roman"/>
                <w:color w:val="auto"/>
                <w:sz w:val="12"/>
                <w:szCs w:val="12"/>
                <w:lang w:eastAsia="zh-CN"/>
              </w:rPr>
            </w:pPr>
            <w:r w:rsidRPr="00ED79DB">
              <w:rPr>
                <w:rFonts w:ascii="Times New Roman" w:hAnsi="Times New Roman"/>
                <w:color w:val="auto"/>
                <w:sz w:val="12"/>
                <w:szCs w:val="12"/>
                <w:lang w:eastAsia="zh-CN"/>
              </w:rPr>
              <w:t>0</w:t>
            </w:r>
          </w:p>
        </w:tc>
        <w:tc>
          <w:tcPr>
            <w:tcW w:w="250" w:type="dxa"/>
            <w:tcBorders>
              <w:bottom w:val="single" w:sz="4" w:space="0" w:color="auto"/>
            </w:tcBorders>
            <w:vAlign w:val="center"/>
          </w:tcPr>
          <w:p w:rsidR="00ED79DB" w:rsidRPr="00ED79DB" w:rsidRDefault="007270C2" w:rsidP="006239F1">
            <w:pPr>
              <w:pStyle w:val="BodyText3"/>
              <w:spacing w:line="240" w:lineRule="auto"/>
              <w:ind w:right="0"/>
              <w:jc w:val="center"/>
              <w:rPr>
                <w:rFonts w:ascii="Times New Roman" w:hAnsi="Times New Roman"/>
                <w:color w:val="auto"/>
                <w:sz w:val="12"/>
                <w:szCs w:val="12"/>
                <w:lang w:eastAsia="zh-CN"/>
              </w:rPr>
            </w:pPr>
            <w:r w:rsidRPr="00ED79DB">
              <w:rPr>
                <w:rFonts w:ascii="Times New Roman" w:hAnsi="Times New Roman"/>
                <w:color w:val="auto"/>
                <w:sz w:val="12"/>
                <w:szCs w:val="12"/>
                <w:lang w:eastAsia="zh-CN"/>
              </w:rPr>
              <w:t>50</w:t>
            </w:r>
          </w:p>
        </w:tc>
        <w:tc>
          <w:tcPr>
            <w:tcW w:w="250" w:type="dxa"/>
            <w:tcBorders>
              <w:bottom w:val="single" w:sz="4" w:space="0" w:color="auto"/>
            </w:tcBorders>
            <w:vAlign w:val="center"/>
          </w:tcPr>
          <w:p w:rsidR="00ED79DB" w:rsidRPr="00ED79DB" w:rsidRDefault="007270C2" w:rsidP="006239F1">
            <w:pPr>
              <w:pStyle w:val="BodyText3"/>
              <w:spacing w:line="240" w:lineRule="auto"/>
              <w:ind w:right="0"/>
              <w:jc w:val="center"/>
              <w:rPr>
                <w:rFonts w:ascii="Times New Roman" w:hAnsi="Times New Roman"/>
                <w:color w:val="auto"/>
                <w:sz w:val="12"/>
                <w:szCs w:val="12"/>
                <w:lang w:eastAsia="zh-CN"/>
              </w:rPr>
            </w:pPr>
            <w:r w:rsidRPr="00ED79DB">
              <w:rPr>
                <w:rFonts w:ascii="Times New Roman" w:hAnsi="Times New Roman"/>
                <w:color w:val="auto"/>
                <w:sz w:val="12"/>
                <w:szCs w:val="12"/>
                <w:lang w:eastAsia="zh-CN"/>
              </w:rPr>
              <w:t>0</w:t>
            </w:r>
          </w:p>
        </w:tc>
        <w:tc>
          <w:tcPr>
            <w:tcW w:w="250" w:type="dxa"/>
            <w:tcBorders>
              <w:bottom w:val="single" w:sz="4" w:space="0" w:color="auto"/>
            </w:tcBorders>
            <w:vAlign w:val="center"/>
          </w:tcPr>
          <w:p w:rsidR="00ED79DB" w:rsidRPr="00ED79DB" w:rsidRDefault="007270C2" w:rsidP="006239F1">
            <w:pPr>
              <w:pStyle w:val="BodyText3"/>
              <w:spacing w:line="240" w:lineRule="auto"/>
              <w:ind w:right="0"/>
              <w:jc w:val="center"/>
              <w:rPr>
                <w:rFonts w:ascii="Times New Roman" w:hAnsi="Times New Roman"/>
                <w:color w:val="auto"/>
                <w:sz w:val="12"/>
                <w:szCs w:val="12"/>
                <w:lang w:eastAsia="zh-CN"/>
              </w:rPr>
            </w:pPr>
            <w:r w:rsidRPr="00ED79DB">
              <w:rPr>
                <w:rFonts w:ascii="Times New Roman" w:hAnsi="Times New Roman"/>
                <w:color w:val="auto"/>
                <w:sz w:val="12"/>
                <w:szCs w:val="12"/>
                <w:lang w:eastAsia="zh-CN"/>
              </w:rPr>
              <w:t>50</w:t>
            </w:r>
          </w:p>
        </w:tc>
        <w:tc>
          <w:tcPr>
            <w:tcW w:w="249" w:type="dxa"/>
            <w:tcBorders>
              <w:bottom w:val="single" w:sz="4" w:space="0" w:color="auto"/>
            </w:tcBorders>
            <w:vAlign w:val="center"/>
          </w:tcPr>
          <w:p w:rsidR="00ED79DB" w:rsidRPr="00ED79DB" w:rsidRDefault="007270C2" w:rsidP="006239F1">
            <w:pPr>
              <w:pStyle w:val="BodyText3"/>
              <w:spacing w:line="240" w:lineRule="auto"/>
              <w:ind w:right="0"/>
              <w:jc w:val="center"/>
              <w:rPr>
                <w:rFonts w:ascii="Times New Roman" w:hAnsi="Times New Roman"/>
                <w:color w:val="auto"/>
                <w:sz w:val="12"/>
                <w:szCs w:val="12"/>
                <w:lang w:eastAsia="zh-CN"/>
              </w:rPr>
            </w:pPr>
            <w:r w:rsidRPr="00ED79DB">
              <w:rPr>
                <w:rFonts w:ascii="Times New Roman" w:hAnsi="Times New Roman"/>
                <w:color w:val="auto"/>
                <w:sz w:val="12"/>
                <w:szCs w:val="12"/>
                <w:lang w:eastAsia="zh-CN"/>
              </w:rPr>
              <w:t>0</w:t>
            </w:r>
          </w:p>
        </w:tc>
        <w:tc>
          <w:tcPr>
            <w:tcW w:w="250" w:type="dxa"/>
            <w:tcBorders>
              <w:bottom w:val="single" w:sz="4" w:space="0" w:color="auto"/>
            </w:tcBorders>
            <w:vAlign w:val="center"/>
          </w:tcPr>
          <w:p w:rsidR="00ED79DB" w:rsidRPr="00ED79DB" w:rsidRDefault="007270C2" w:rsidP="006239F1">
            <w:pPr>
              <w:pStyle w:val="BodyText3"/>
              <w:spacing w:line="240" w:lineRule="auto"/>
              <w:ind w:right="0"/>
              <w:jc w:val="center"/>
              <w:rPr>
                <w:rFonts w:ascii="Times New Roman" w:hAnsi="Times New Roman"/>
                <w:color w:val="auto"/>
                <w:sz w:val="12"/>
                <w:szCs w:val="12"/>
                <w:lang w:eastAsia="zh-CN"/>
              </w:rPr>
            </w:pPr>
            <w:r w:rsidRPr="00ED79DB">
              <w:rPr>
                <w:rFonts w:ascii="Times New Roman" w:hAnsi="Times New Roman"/>
                <w:color w:val="auto"/>
                <w:sz w:val="12"/>
                <w:szCs w:val="12"/>
                <w:lang w:eastAsia="zh-CN"/>
              </w:rPr>
              <w:t>50</w:t>
            </w:r>
          </w:p>
        </w:tc>
        <w:tc>
          <w:tcPr>
            <w:tcW w:w="250" w:type="dxa"/>
            <w:tcBorders>
              <w:bottom w:val="single" w:sz="4" w:space="0" w:color="auto"/>
            </w:tcBorders>
            <w:vAlign w:val="center"/>
          </w:tcPr>
          <w:p w:rsidR="00ED79DB" w:rsidRPr="00ED79DB" w:rsidRDefault="007270C2" w:rsidP="006239F1">
            <w:pPr>
              <w:jc w:val="center"/>
              <w:rPr>
                <w:rFonts w:ascii="Times New Roman" w:hAnsi="Times New Roman"/>
                <w:sz w:val="12"/>
                <w:szCs w:val="12"/>
              </w:rPr>
            </w:pPr>
            <w:r w:rsidRPr="00ED79DB">
              <w:rPr>
                <w:rFonts w:ascii="Times New Roman" w:hAnsi="Times New Roman"/>
                <w:sz w:val="12"/>
                <w:szCs w:val="12"/>
              </w:rPr>
              <w:t>0</w:t>
            </w:r>
          </w:p>
        </w:tc>
        <w:tc>
          <w:tcPr>
            <w:tcW w:w="250" w:type="dxa"/>
            <w:tcBorders>
              <w:bottom w:val="single" w:sz="4" w:space="0" w:color="auto"/>
            </w:tcBorders>
            <w:vAlign w:val="center"/>
          </w:tcPr>
          <w:p w:rsidR="00ED79DB" w:rsidRPr="00ED79DB" w:rsidRDefault="007270C2" w:rsidP="006239F1">
            <w:pPr>
              <w:jc w:val="center"/>
              <w:rPr>
                <w:rFonts w:ascii="Times New Roman" w:hAnsi="Times New Roman"/>
                <w:sz w:val="12"/>
                <w:szCs w:val="12"/>
              </w:rPr>
            </w:pPr>
            <w:r w:rsidRPr="00ED79DB">
              <w:rPr>
                <w:rFonts w:ascii="Times New Roman" w:hAnsi="Times New Roman"/>
                <w:sz w:val="12"/>
                <w:szCs w:val="12"/>
              </w:rPr>
              <w:t>50</w:t>
            </w:r>
          </w:p>
        </w:tc>
        <w:tc>
          <w:tcPr>
            <w:tcW w:w="249" w:type="dxa"/>
            <w:tcBorders>
              <w:bottom w:val="single" w:sz="4" w:space="0" w:color="auto"/>
            </w:tcBorders>
            <w:vAlign w:val="center"/>
          </w:tcPr>
          <w:p w:rsidR="00ED79DB" w:rsidRPr="00ED79DB" w:rsidRDefault="007270C2" w:rsidP="006239F1">
            <w:pPr>
              <w:pStyle w:val="BodyText3"/>
              <w:spacing w:line="240" w:lineRule="auto"/>
              <w:ind w:right="0"/>
              <w:jc w:val="center"/>
              <w:rPr>
                <w:rFonts w:ascii="Times New Roman" w:hAnsi="Times New Roman"/>
                <w:color w:val="auto"/>
                <w:sz w:val="12"/>
                <w:szCs w:val="12"/>
                <w:lang w:eastAsia="zh-CN"/>
              </w:rPr>
            </w:pPr>
            <w:r w:rsidRPr="00ED79DB">
              <w:rPr>
                <w:rFonts w:ascii="Times New Roman" w:hAnsi="Times New Roman"/>
                <w:color w:val="auto"/>
                <w:sz w:val="12"/>
                <w:szCs w:val="12"/>
                <w:lang w:eastAsia="zh-CN"/>
              </w:rPr>
              <w:t>0</w:t>
            </w:r>
          </w:p>
        </w:tc>
        <w:tc>
          <w:tcPr>
            <w:tcW w:w="250" w:type="dxa"/>
            <w:tcBorders>
              <w:bottom w:val="single" w:sz="4" w:space="0" w:color="auto"/>
            </w:tcBorders>
            <w:vAlign w:val="center"/>
          </w:tcPr>
          <w:p w:rsidR="00ED79DB" w:rsidRPr="00ED79DB" w:rsidRDefault="007270C2" w:rsidP="006239F1">
            <w:pPr>
              <w:pStyle w:val="BodyText3"/>
              <w:spacing w:line="240" w:lineRule="auto"/>
              <w:ind w:right="0"/>
              <w:jc w:val="center"/>
              <w:rPr>
                <w:rFonts w:ascii="Times New Roman" w:hAnsi="Times New Roman"/>
                <w:color w:val="auto"/>
                <w:sz w:val="12"/>
                <w:szCs w:val="12"/>
                <w:lang w:eastAsia="zh-CN"/>
              </w:rPr>
            </w:pPr>
            <w:r w:rsidRPr="00ED79DB">
              <w:rPr>
                <w:rFonts w:ascii="Times New Roman" w:hAnsi="Times New Roman"/>
                <w:color w:val="auto"/>
                <w:sz w:val="12"/>
                <w:szCs w:val="12"/>
                <w:lang w:eastAsia="zh-CN"/>
              </w:rPr>
              <w:t>50</w:t>
            </w:r>
          </w:p>
        </w:tc>
        <w:tc>
          <w:tcPr>
            <w:tcW w:w="250" w:type="dxa"/>
            <w:tcBorders>
              <w:bottom w:val="single" w:sz="4" w:space="0" w:color="auto"/>
            </w:tcBorders>
            <w:vAlign w:val="center"/>
          </w:tcPr>
          <w:p w:rsidR="00ED79DB" w:rsidRPr="00ED79DB" w:rsidRDefault="007270C2" w:rsidP="006239F1">
            <w:pPr>
              <w:jc w:val="center"/>
              <w:rPr>
                <w:rFonts w:ascii="Times New Roman" w:hAnsi="Times New Roman"/>
                <w:sz w:val="12"/>
                <w:szCs w:val="12"/>
              </w:rPr>
            </w:pPr>
            <w:r w:rsidRPr="00ED79DB">
              <w:rPr>
                <w:rFonts w:ascii="Times New Roman" w:hAnsi="Times New Roman"/>
                <w:sz w:val="12"/>
                <w:szCs w:val="12"/>
              </w:rPr>
              <w:t>0</w:t>
            </w:r>
          </w:p>
        </w:tc>
        <w:tc>
          <w:tcPr>
            <w:tcW w:w="251" w:type="dxa"/>
            <w:tcBorders>
              <w:bottom w:val="single" w:sz="4" w:space="0" w:color="auto"/>
            </w:tcBorders>
            <w:vAlign w:val="center"/>
          </w:tcPr>
          <w:p w:rsidR="00ED79DB" w:rsidRPr="00ED79DB" w:rsidRDefault="007270C2" w:rsidP="006239F1">
            <w:pPr>
              <w:jc w:val="center"/>
              <w:rPr>
                <w:rFonts w:ascii="Times New Roman" w:hAnsi="Times New Roman"/>
                <w:sz w:val="12"/>
                <w:szCs w:val="12"/>
              </w:rPr>
            </w:pPr>
            <w:r w:rsidRPr="00ED79DB">
              <w:rPr>
                <w:rFonts w:ascii="Times New Roman" w:hAnsi="Times New Roman"/>
                <w:sz w:val="12"/>
                <w:szCs w:val="12"/>
              </w:rPr>
              <w:t>50</w:t>
            </w:r>
          </w:p>
        </w:tc>
        <w:tc>
          <w:tcPr>
            <w:tcW w:w="250" w:type="dxa"/>
            <w:tcBorders>
              <w:bottom w:val="single" w:sz="4" w:space="0" w:color="auto"/>
            </w:tcBorders>
            <w:vAlign w:val="center"/>
          </w:tcPr>
          <w:p w:rsidR="00ED79DB" w:rsidRPr="00ED79DB" w:rsidRDefault="007270C2" w:rsidP="006239F1">
            <w:pPr>
              <w:jc w:val="center"/>
              <w:rPr>
                <w:rFonts w:ascii="Times New Roman" w:hAnsi="Times New Roman"/>
                <w:sz w:val="12"/>
                <w:szCs w:val="12"/>
              </w:rPr>
            </w:pPr>
            <w:r w:rsidRPr="00ED79DB">
              <w:rPr>
                <w:rFonts w:ascii="Times New Roman" w:hAnsi="Times New Roman"/>
                <w:sz w:val="12"/>
                <w:szCs w:val="12"/>
              </w:rPr>
              <w:t>0</w:t>
            </w:r>
          </w:p>
        </w:tc>
        <w:tc>
          <w:tcPr>
            <w:tcW w:w="251" w:type="dxa"/>
            <w:tcBorders>
              <w:bottom w:val="single" w:sz="4" w:space="0" w:color="auto"/>
            </w:tcBorders>
            <w:vAlign w:val="center"/>
          </w:tcPr>
          <w:p w:rsidR="00ED79DB" w:rsidRPr="00ED79DB" w:rsidRDefault="007270C2" w:rsidP="006239F1">
            <w:pPr>
              <w:jc w:val="center"/>
              <w:rPr>
                <w:rFonts w:ascii="Times New Roman" w:hAnsi="Times New Roman"/>
                <w:sz w:val="12"/>
                <w:szCs w:val="12"/>
              </w:rPr>
            </w:pPr>
            <w:r w:rsidRPr="00ED79DB">
              <w:rPr>
                <w:rFonts w:ascii="Times New Roman" w:hAnsi="Times New Roman"/>
                <w:sz w:val="12"/>
                <w:szCs w:val="12"/>
              </w:rPr>
              <w:t>50</w:t>
            </w:r>
          </w:p>
        </w:tc>
        <w:tc>
          <w:tcPr>
            <w:tcW w:w="251" w:type="dxa"/>
            <w:tcBorders>
              <w:bottom w:val="single" w:sz="4" w:space="0" w:color="auto"/>
            </w:tcBorders>
            <w:vAlign w:val="center"/>
          </w:tcPr>
          <w:p w:rsidR="00ED79DB" w:rsidRPr="00ED79DB" w:rsidRDefault="007270C2" w:rsidP="006239F1">
            <w:pPr>
              <w:jc w:val="center"/>
              <w:rPr>
                <w:rFonts w:ascii="Times New Roman" w:hAnsi="Times New Roman"/>
                <w:sz w:val="12"/>
                <w:szCs w:val="12"/>
              </w:rPr>
            </w:pPr>
            <w:r w:rsidRPr="00ED79DB">
              <w:rPr>
                <w:rFonts w:ascii="Times New Roman" w:hAnsi="Times New Roman"/>
                <w:sz w:val="12"/>
                <w:szCs w:val="12"/>
              </w:rPr>
              <w:t>0</w:t>
            </w:r>
          </w:p>
        </w:tc>
        <w:tc>
          <w:tcPr>
            <w:tcW w:w="246" w:type="dxa"/>
            <w:tcBorders>
              <w:bottom w:val="single" w:sz="4" w:space="0" w:color="auto"/>
            </w:tcBorders>
            <w:vAlign w:val="center"/>
          </w:tcPr>
          <w:p w:rsidR="00ED79DB" w:rsidRPr="00ED79DB" w:rsidRDefault="007270C2" w:rsidP="006239F1">
            <w:pPr>
              <w:jc w:val="center"/>
              <w:rPr>
                <w:rFonts w:ascii="Times New Roman" w:hAnsi="Times New Roman"/>
                <w:sz w:val="12"/>
                <w:szCs w:val="12"/>
              </w:rPr>
            </w:pPr>
            <w:r w:rsidRPr="00ED79DB">
              <w:rPr>
                <w:rFonts w:ascii="Times New Roman" w:hAnsi="Times New Roman"/>
                <w:sz w:val="12"/>
                <w:szCs w:val="12"/>
              </w:rPr>
              <w:t>50</w:t>
            </w:r>
          </w:p>
        </w:tc>
      </w:tr>
    </w:tbl>
    <w:p w:rsidR="00ED79DB" w:rsidRPr="00ED79DB" w:rsidRDefault="00ED79DB" w:rsidP="00ED79DB">
      <w:pPr>
        <w:spacing w:line="60" w:lineRule="exact"/>
        <w:rPr>
          <w:rFonts w:ascii="Times New Roman" w:hAnsi="Times New Roman"/>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 w:type="dxa"/>
          <w:right w:w="14" w:type="dxa"/>
        </w:tblCellMar>
        <w:tblLook w:val="0000" w:firstRow="0" w:lastRow="0" w:firstColumn="0" w:lastColumn="0" w:noHBand="0" w:noVBand="0"/>
      </w:tblPr>
      <w:tblGrid>
        <w:gridCol w:w="867"/>
        <w:gridCol w:w="251"/>
        <w:gridCol w:w="251"/>
        <w:gridCol w:w="251"/>
        <w:gridCol w:w="250"/>
        <w:gridCol w:w="250"/>
        <w:gridCol w:w="251"/>
      </w:tblGrid>
      <w:tr w:rsidR="00872005" w:rsidTr="00563ECE">
        <w:trPr>
          <w:trHeight w:val="170"/>
        </w:trPr>
        <w:tc>
          <w:tcPr>
            <w:tcW w:w="867" w:type="dxa"/>
            <w:vMerge w:val="restart"/>
            <w:vAlign w:val="center"/>
          </w:tcPr>
          <w:p w:rsidR="00F06C6A" w:rsidRPr="00ED79DB"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auto"/>
                <w:spacing w:val="0"/>
                <w:sz w:val="12"/>
                <w:szCs w:val="12"/>
              </w:rPr>
            </w:pPr>
            <w:r w:rsidRPr="00ED79DB">
              <w:rPr>
                <w:rFonts w:ascii="Times New Roman" w:eastAsia="Times New Roman" w:hAnsi="Times New Roman"/>
                <w:b/>
                <w:color w:val="auto"/>
                <w:spacing w:val="0"/>
                <w:sz w:val="12"/>
                <w:szCs w:val="12"/>
              </w:rPr>
              <w:t xml:space="preserve">Koncentrace </w:t>
            </w:r>
            <w:r w:rsidRPr="00ED79DB">
              <w:rPr>
                <w:rFonts w:ascii="Times New Roman" w:eastAsia="Times New Roman" w:hAnsi="Times New Roman"/>
                <w:b/>
                <w:color w:val="auto"/>
                <w:spacing w:val="0"/>
                <w:sz w:val="12"/>
                <w:szCs w:val="12"/>
              </w:rPr>
              <w:lastRenderedPageBreak/>
              <w:t xml:space="preserve">léčiva </w:t>
            </w:r>
          </w:p>
          <w:p w:rsidR="00F06C6A" w:rsidRPr="00ED79DB" w:rsidRDefault="007270C2" w:rsidP="006239F1">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SimSun" w:hAnsi="Times New Roman"/>
                <w:b/>
                <w:color w:val="auto"/>
                <w:spacing w:val="0"/>
                <w:sz w:val="12"/>
                <w:szCs w:val="12"/>
              </w:rPr>
            </w:pPr>
            <w:r w:rsidRPr="00ED79DB">
              <w:rPr>
                <w:rFonts w:ascii="Times New Roman" w:eastAsia="Times New Roman" w:hAnsi="Times New Roman"/>
                <w:b/>
                <w:color w:val="auto"/>
                <w:spacing w:val="0"/>
                <w:sz w:val="12"/>
                <w:szCs w:val="12"/>
              </w:rPr>
              <w:t>(Rozmezí cut-off)</w:t>
            </w:r>
          </w:p>
        </w:tc>
        <w:tc>
          <w:tcPr>
            <w:tcW w:w="502" w:type="dxa"/>
            <w:gridSpan w:val="2"/>
            <w:vAlign w:val="center"/>
          </w:tcPr>
          <w:p w:rsidR="00F06C6A" w:rsidRPr="00ED79DB" w:rsidRDefault="007270C2" w:rsidP="006239F1">
            <w:pPr>
              <w:jc w:val="center"/>
              <w:rPr>
                <w:rFonts w:ascii="Times New Roman" w:hAnsi="Times New Roman"/>
                <w:b/>
                <w:sz w:val="12"/>
                <w:szCs w:val="12"/>
              </w:rPr>
            </w:pPr>
            <w:r w:rsidRPr="00ED79DB">
              <w:rPr>
                <w:rFonts w:ascii="Times New Roman" w:hAnsi="Times New Roman"/>
                <w:b/>
                <w:sz w:val="12"/>
                <w:szCs w:val="12"/>
              </w:rPr>
              <w:lastRenderedPageBreak/>
              <w:t>TRA 100</w:t>
            </w:r>
          </w:p>
        </w:tc>
        <w:tc>
          <w:tcPr>
            <w:tcW w:w="501" w:type="dxa"/>
            <w:gridSpan w:val="2"/>
            <w:vAlign w:val="center"/>
          </w:tcPr>
          <w:p w:rsidR="00F06C6A" w:rsidRPr="00ED79DB" w:rsidRDefault="007270C2" w:rsidP="006239F1">
            <w:pPr>
              <w:jc w:val="center"/>
              <w:rPr>
                <w:rFonts w:ascii="Times New Roman" w:hAnsi="Times New Roman"/>
                <w:b/>
                <w:sz w:val="12"/>
                <w:szCs w:val="12"/>
              </w:rPr>
            </w:pPr>
            <w:r w:rsidRPr="00ED79DB">
              <w:rPr>
                <w:rFonts w:ascii="Times New Roman" w:hAnsi="Times New Roman"/>
                <w:b/>
                <w:sz w:val="12"/>
                <w:szCs w:val="12"/>
              </w:rPr>
              <w:t>TCA</w:t>
            </w:r>
          </w:p>
        </w:tc>
        <w:tc>
          <w:tcPr>
            <w:tcW w:w="501" w:type="dxa"/>
            <w:gridSpan w:val="2"/>
          </w:tcPr>
          <w:p w:rsidR="00F06C6A" w:rsidRPr="0040799C" w:rsidRDefault="007270C2" w:rsidP="006239F1">
            <w:pPr>
              <w:jc w:val="center"/>
              <w:rPr>
                <w:rFonts w:ascii="Times New Roman" w:hAnsi="Times New Roman"/>
                <w:b/>
                <w:sz w:val="12"/>
                <w:szCs w:val="12"/>
              </w:rPr>
            </w:pPr>
            <w:r w:rsidRPr="0040799C">
              <w:rPr>
                <w:rFonts w:ascii="Times New Roman" w:hAnsi="Times New Roman"/>
                <w:b/>
                <w:sz w:val="12"/>
                <w:szCs w:val="12"/>
              </w:rPr>
              <w:t>ZOL</w:t>
            </w:r>
          </w:p>
        </w:tc>
      </w:tr>
      <w:tr w:rsidR="00872005" w:rsidTr="002305D1">
        <w:trPr>
          <w:trHeight w:val="170"/>
        </w:trPr>
        <w:tc>
          <w:tcPr>
            <w:tcW w:w="867" w:type="dxa"/>
            <w:vMerge/>
            <w:vAlign w:val="center"/>
          </w:tcPr>
          <w:p w:rsidR="00C54130" w:rsidRPr="00ED79DB" w:rsidRDefault="00C54130" w:rsidP="00C54130">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p>
        </w:tc>
        <w:tc>
          <w:tcPr>
            <w:tcW w:w="251" w:type="dxa"/>
            <w:vAlign w:val="center"/>
          </w:tcPr>
          <w:p w:rsidR="00C54130" w:rsidRPr="00ED79DB" w:rsidRDefault="007270C2" w:rsidP="00C54130">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ED79DB">
              <w:rPr>
                <w:rFonts w:ascii="Times New Roman" w:eastAsia="Times New Roman" w:hAnsi="Times New Roman"/>
                <w:bCs/>
                <w:color w:val="000000"/>
                <w:spacing w:val="0"/>
                <w:sz w:val="12"/>
                <w:szCs w:val="12"/>
              </w:rPr>
              <w:t>-</w:t>
            </w:r>
          </w:p>
        </w:tc>
        <w:tc>
          <w:tcPr>
            <w:tcW w:w="251" w:type="dxa"/>
            <w:vAlign w:val="center"/>
          </w:tcPr>
          <w:p w:rsidR="00C54130" w:rsidRPr="00ED79DB" w:rsidRDefault="007270C2" w:rsidP="00C54130">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ED79DB">
              <w:rPr>
                <w:rFonts w:ascii="Times New Roman" w:eastAsia="Times New Roman" w:hAnsi="Times New Roman"/>
                <w:bCs/>
                <w:color w:val="000000"/>
                <w:spacing w:val="0"/>
                <w:sz w:val="12"/>
                <w:szCs w:val="12"/>
              </w:rPr>
              <w:t>+</w:t>
            </w:r>
          </w:p>
        </w:tc>
        <w:tc>
          <w:tcPr>
            <w:tcW w:w="251" w:type="dxa"/>
            <w:vAlign w:val="center"/>
          </w:tcPr>
          <w:p w:rsidR="00C54130" w:rsidRPr="00ED79DB" w:rsidRDefault="007270C2" w:rsidP="00C54130">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ED79DB">
              <w:rPr>
                <w:rFonts w:ascii="Times New Roman" w:eastAsia="Times New Roman" w:hAnsi="Times New Roman"/>
                <w:bCs/>
                <w:color w:val="000000"/>
                <w:spacing w:val="0"/>
                <w:sz w:val="12"/>
                <w:szCs w:val="12"/>
              </w:rPr>
              <w:t>-</w:t>
            </w:r>
          </w:p>
        </w:tc>
        <w:tc>
          <w:tcPr>
            <w:tcW w:w="250" w:type="dxa"/>
            <w:vAlign w:val="center"/>
          </w:tcPr>
          <w:p w:rsidR="00C54130" w:rsidRPr="00ED79DB" w:rsidRDefault="007270C2" w:rsidP="00C54130">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
                <w:color w:val="000000"/>
                <w:spacing w:val="0"/>
                <w:sz w:val="12"/>
                <w:szCs w:val="12"/>
              </w:rPr>
            </w:pPr>
            <w:r w:rsidRPr="00ED79DB">
              <w:rPr>
                <w:rFonts w:ascii="Times New Roman" w:eastAsia="Times New Roman" w:hAnsi="Times New Roman"/>
                <w:bCs/>
                <w:color w:val="000000"/>
                <w:spacing w:val="0"/>
                <w:sz w:val="12"/>
                <w:szCs w:val="12"/>
              </w:rPr>
              <w:t>+</w:t>
            </w:r>
          </w:p>
        </w:tc>
        <w:tc>
          <w:tcPr>
            <w:tcW w:w="250" w:type="dxa"/>
            <w:vAlign w:val="center"/>
          </w:tcPr>
          <w:p w:rsidR="00C54130" w:rsidRPr="0040799C" w:rsidRDefault="007270C2" w:rsidP="00C54130">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Cs/>
                <w:color w:val="auto"/>
                <w:spacing w:val="0"/>
                <w:sz w:val="12"/>
                <w:szCs w:val="12"/>
              </w:rPr>
            </w:pPr>
            <w:r w:rsidRPr="0040799C">
              <w:rPr>
                <w:rFonts w:eastAsia="Times New Roman"/>
                <w:bCs/>
                <w:color w:val="auto"/>
                <w:spacing w:val="0"/>
                <w:sz w:val="11"/>
                <w:szCs w:val="11"/>
              </w:rPr>
              <w:t>-</w:t>
            </w:r>
          </w:p>
        </w:tc>
        <w:tc>
          <w:tcPr>
            <w:tcW w:w="251" w:type="dxa"/>
            <w:vAlign w:val="center"/>
          </w:tcPr>
          <w:p w:rsidR="00C54130" w:rsidRPr="0040799C" w:rsidRDefault="007270C2" w:rsidP="00C54130">
            <w:pPr>
              <w:pStyle w:val="BodyTextIndent2"/>
              <w:widowControl/>
              <w:tabs>
                <w:tab w:val="left" w:pos="720"/>
                <w:tab w:val="left" w:pos="1440"/>
              </w:tabs>
              <w:overflowPunct/>
              <w:autoSpaceDE/>
              <w:autoSpaceDN/>
              <w:adjustRightInd/>
              <w:spacing w:line="240" w:lineRule="auto"/>
              <w:ind w:left="0" w:firstLine="0"/>
              <w:jc w:val="center"/>
              <w:textAlignment w:val="auto"/>
              <w:rPr>
                <w:rFonts w:ascii="Times New Roman" w:eastAsia="Times New Roman" w:hAnsi="Times New Roman"/>
                <w:bCs/>
                <w:color w:val="auto"/>
                <w:spacing w:val="0"/>
                <w:sz w:val="12"/>
                <w:szCs w:val="12"/>
              </w:rPr>
            </w:pPr>
            <w:r w:rsidRPr="0040799C">
              <w:rPr>
                <w:rFonts w:eastAsia="Times New Roman"/>
                <w:bCs/>
                <w:color w:val="auto"/>
                <w:spacing w:val="0"/>
                <w:sz w:val="11"/>
                <w:szCs w:val="11"/>
              </w:rPr>
              <w:t>+</w:t>
            </w:r>
          </w:p>
        </w:tc>
      </w:tr>
      <w:tr w:rsidR="00872005" w:rsidTr="002305D1">
        <w:trPr>
          <w:trHeight w:val="170"/>
        </w:trPr>
        <w:tc>
          <w:tcPr>
            <w:tcW w:w="867" w:type="dxa"/>
            <w:vAlign w:val="center"/>
          </w:tcPr>
          <w:p w:rsidR="00C54130" w:rsidRPr="00ED79DB" w:rsidRDefault="007270C2" w:rsidP="00C54130">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auto"/>
                <w:spacing w:val="0"/>
                <w:sz w:val="12"/>
                <w:szCs w:val="12"/>
              </w:rPr>
            </w:pPr>
            <w:r w:rsidRPr="00ED79DB">
              <w:rPr>
                <w:rFonts w:ascii="Times New Roman" w:eastAsia="SimSun" w:hAnsi="Times New Roman"/>
                <w:color w:val="auto"/>
                <w:spacing w:val="0"/>
                <w:sz w:val="12"/>
                <w:szCs w:val="12"/>
              </w:rPr>
              <w:t>0 % Mezní hodnota</w:t>
            </w:r>
          </w:p>
        </w:tc>
        <w:tc>
          <w:tcPr>
            <w:tcW w:w="251" w:type="dxa"/>
            <w:vAlign w:val="center"/>
          </w:tcPr>
          <w:p w:rsidR="00C54130" w:rsidRPr="00ED79DB" w:rsidRDefault="007270C2" w:rsidP="00C54130">
            <w:pPr>
              <w:pStyle w:val="BodyText3"/>
              <w:spacing w:line="240" w:lineRule="auto"/>
              <w:ind w:right="0"/>
              <w:jc w:val="center"/>
              <w:rPr>
                <w:rFonts w:ascii="Times New Roman" w:hAnsi="Times New Roman"/>
                <w:color w:val="auto"/>
                <w:sz w:val="12"/>
                <w:szCs w:val="12"/>
                <w:lang w:eastAsia="zh-CN"/>
              </w:rPr>
            </w:pPr>
            <w:r w:rsidRPr="00ED79DB">
              <w:rPr>
                <w:rFonts w:ascii="Times New Roman" w:hAnsi="Times New Roman"/>
                <w:color w:val="auto"/>
                <w:sz w:val="12"/>
                <w:szCs w:val="12"/>
                <w:lang w:eastAsia="zh-CN"/>
              </w:rPr>
              <w:t>50</w:t>
            </w:r>
          </w:p>
        </w:tc>
        <w:tc>
          <w:tcPr>
            <w:tcW w:w="251" w:type="dxa"/>
            <w:vAlign w:val="center"/>
          </w:tcPr>
          <w:p w:rsidR="00C54130" w:rsidRPr="00ED79DB" w:rsidRDefault="007270C2" w:rsidP="00C54130">
            <w:pPr>
              <w:pStyle w:val="BodyText3"/>
              <w:spacing w:line="240" w:lineRule="auto"/>
              <w:ind w:right="0"/>
              <w:jc w:val="center"/>
              <w:rPr>
                <w:rFonts w:ascii="Times New Roman" w:hAnsi="Times New Roman"/>
                <w:color w:val="auto"/>
                <w:sz w:val="12"/>
                <w:szCs w:val="12"/>
                <w:lang w:eastAsia="zh-CN"/>
              </w:rPr>
            </w:pPr>
            <w:r w:rsidRPr="00ED79DB">
              <w:rPr>
                <w:rFonts w:ascii="Times New Roman" w:hAnsi="Times New Roman"/>
                <w:color w:val="auto"/>
                <w:sz w:val="12"/>
                <w:szCs w:val="12"/>
                <w:lang w:eastAsia="zh-CN"/>
              </w:rPr>
              <w:t>0</w:t>
            </w:r>
          </w:p>
        </w:tc>
        <w:tc>
          <w:tcPr>
            <w:tcW w:w="251" w:type="dxa"/>
            <w:vAlign w:val="center"/>
          </w:tcPr>
          <w:p w:rsidR="00C54130" w:rsidRPr="00ED79DB" w:rsidRDefault="007270C2" w:rsidP="00C54130">
            <w:pPr>
              <w:pStyle w:val="BodyText3"/>
              <w:spacing w:line="240" w:lineRule="auto"/>
              <w:ind w:right="0"/>
              <w:jc w:val="center"/>
              <w:rPr>
                <w:rFonts w:ascii="Times New Roman" w:hAnsi="Times New Roman"/>
                <w:color w:val="auto"/>
                <w:sz w:val="12"/>
                <w:szCs w:val="12"/>
                <w:lang w:eastAsia="zh-CN"/>
              </w:rPr>
            </w:pPr>
            <w:r w:rsidRPr="00ED79DB">
              <w:rPr>
                <w:rFonts w:ascii="Times New Roman" w:hAnsi="Times New Roman"/>
                <w:color w:val="auto"/>
                <w:sz w:val="12"/>
                <w:szCs w:val="12"/>
                <w:lang w:eastAsia="zh-CN"/>
              </w:rPr>
              <w:t>50</w:t>
            </w:r>
          </w:p>
        </w:tc>
        <w:tc>
          <w:tcPr>
            <w:tcW w:w="250" w:type="dxa"/>
            <w:vAlign w:val="center"/>
          </w:tcPr>
          <w:p w:rsidR="00C54130" w:rsidRPr="00ED79DB" w:rsidRDefault="007270C2" w:rsidP="00C54130">
            <w:pPr>
              <w:pStyle w:val="BodyText3"/>
              <w:spacing w:line="240" w:lineRule="auto"/>
              <w:ind w:right="0"/>
              <w:jc w:val="center"/>
              <w:rPr>
                <w:rFonts w:ascii="Times New Roman" w:hAnsi="Times New Roman"/>
                <w:color w:val="auto"/>
                <w:sz w:val="12"/>
                <w:szCs w:val="12"/>
              </w:rPr>
            </w:pPr>
            <w:r w:rsidRPr="00ED79DB">
              <w:rPr>
                <w:rFonts w:ascii="Times New Roman" w:hAnsi="Times New Roman"/>
                <w:color w:val="auto"/>
                <w:sz w:val="12"/>
                <w:szCs w:val="12"/>
              </w:rPr>
              <w:t>0</w:t>
            </w:r>
          </w:p>
        </w:tc>
        <w:tc>
          <w:tcPr>
            <w:tcW w:w="250" w:type="dxa"/>
            <w:vAlign w:val="center"/>
          </w:tcPr>
          <w:p w:rsidR="00C54130" w:rsidRPr="0040799C" w:rsidRDefault="007270C2" w:rsidP="00C54130">
            <w:pPr>
              <w:pStyle w:val="BodyText3"/>
              <w:spacing w:line="240" w:lineRule="auto"/>
              <w:ind w:right="0"/>
              <w:jc w:val="center"/>
              <w:rPr>
                <w:rFonts w:ascii="Times New Roman" w:hAnsi="Times New Roman"/>
                <w:color w:val="auto"/>
                <w:sz w:val="12"/>
                <w:szCs w:val="12"/>
                <w:lang w:eastAsia="zh-CN"/>
              </w:rPr>
            </w:pPr>
            <w:r w:rsidRPr="0040799C">
              <w:rPr>
                <w:rFonts w:ascii="Times New Roman" w:hAnsi="Times New Roman"/>
                <w:color w:val="auto"/>
                <w:sz w:val="12"/>
                <w:szCs w:val="12"/>
                <w:lang w:eastAsia="zh-CN"/>
              </w:rPr>
              <w:t>50</w:t>
            </w:r>
          </w:p>
        </w:tc>
        <w:tc>
          <w:tcPr>
            <w:tcW w:w="251" w:type="dxa"/>
            <w:vAlign w:val="center"/>
          </w:tcPr>
          <w:p w:rsidR="00C54130" w:rsidRPr="0040799C" w:rsidRDefault="007270C2" w:rsidP="00C54130">
            <w:pPr>
              <w:pStyle w:val="BodyText3"/>
              <w:spacing w:line="240" w:lineRule="auto"/>
              <w:ind w:right="0"/>
              <w:jc w:val="center"/>
              <w:rPr>
                <w:rFonts w:ascii="Times New Roman" w:hAnsi="Times New Roman"/>
                <w:color w:val="auto"/>
                <w:sz w:val="12"/>
                <w:szCs w:val="12"/>
                <w:lang w:eastAsia="zh-CN"/>
              </w:rPr>
            </w:pPr>
            <w:r w:rsidRPr="0040799C">
              <w:rPr>
                <w:rFonts w:ascii="Times New Roman" w:hAnsi="Times New Roman"/>
                <w:color w:val="auto"/>
                <w:sz w:val="12"/>
                <w:szCs w:val="12"/>
                <w:lang w:eastAsia="zh-CN"/>
              </w:rPr>
              <w:t>0</w:t>
            </w:r>
          </w:p>
        </w:tc>
      </w:tr>
      <w:tr w:rsidR="00872005" w:rsidTr="002305D1">
        <w:trPr>
          <w:trHeight w:val="170"/>
        </w:trPr>
        <w:tc>
          <w:tcPr>
            <w:tcW w:w="867" w:type="dxa"/>
            <w:vAlign w:val="center"/>
          </w:tcPr>
          <w:p w:rsidR="00C54130" w:rsidRPr="00ED79DB" w:rsidRDefault="007270C2" w:rsidP="00C54130">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auto"/>
                <w:spacing w:val="0"/>
                <w:sz w:val="12"/>
                <w:szCs w:val="12"/>
              </w:rPr>
            </w:pPr>
            <w:r w:rsidRPr="00ED79DB">
              <w:rPr>
                <w:rFonts w:ascii="Times New Roman" w:eastAsia="SimSun" w:hAnsi="Times New Roman"/>
                <w:color w:val="auto"/>
                <w:spacing w:val="0"/>
                <w:sz w:val="12"/>
                <w:szCs w:val="12"/>
              </w:rPr>
              <w:t>-75 % Mezní hodnota</w:t>
            </w:r>
          </w:p>
        </w:tc>
        <w:tc>
          <w:tcPr>
            <w:tcW w:w="251" w:type="dxa"/>
            <w:vAlign w:val="center"/>
          </w:tcPr>
          <w:p w:rsidR="00C54130" w:rsidRPr="00ED79DB" w:rsidRDefault="007270C2" w:rsidP="00C54130">
            <w:pPr>
              <w:pStyle w:val="BodyText3"/>
              <w:spacing w:line="240" w:lineRule="auto"/>
              <w:ind w:right="0"/>
              <w:jc w:val="center"/>
              <w:rPr>
                <w:rFonts w:ascii="Times New Roman" w:hAnsi="Times New Roman"/>
                <w:color w:val="auto"/>
                <w:sz w:val="12"/>
                <w:szCs w:val="12"/>
                <w:lang w:eastAsia="zh-CN"/>
              </w:rPr>
            </w:pPr>
            <w:r w:rsidRPr="00ED79DB">
              <w:rPr>
                <w:rFonts w:ascii="Times New Roman" w:hAnsi="Times New Roman"/>
                <w:color w:val="auto"/>
                <w:sz w:val="12"/>
                <w:szCs w:val="12"/>
                <w:lang w:eastAsia="zh-CN"/>
              </w:rPr>
              <w:t>50</w:t>
            </w:r>
          </w:p>
        </w:tc>
        <w:tc>
          <w:tcPr>
            <w:tcW w:w="251" w:type="dxa"/>
            <w:vAlign w:val="center"/>
          </w:tcPr>
          <w:p w:rsidR="00C54130" w:rsidRPr="00ED79DB" w:rsidRDefault="007270C2" w:rsidP="00C54130">
            <w:pPr>
              <w:pStyle w:val="BodyText3"/>
              <w:spacing w:line="240" w:lineRule="auto"/>
              <w:ind w:right="0"/>
              <w:jc w:val="center"/>
              <w:rPr>
                <w:rFonts w:ascii="Times New Roman" w:hAnsi="Times New Roman"/>
                <w:color w:val="auto"/>
                <w:sz w:val="12"/>
                <w:szCs w:val="12"/>
                <w:lang w:eastAsia="zh-CN"/>
              </w:rPr>
            </w:pPr>
            <w:r w:rsidRPr="00ED79DB">
              <w:rPr>
                <w:rFonts w:ascii="Times New Roman" w:hAnsi="Times New Roman"/>
                <w:color w:val="auto"/>
                <w:sz w:val="12"/>
                <w:szCs w:val="12"/>
                <w:lang w:eastAsia="zh-CN"/>
              </w:rPr>
              <w:t>0</w:t>
            </w:r>
          </w:p>
        </w:tc>
        <w:tc>
          <w:tcPr>
            <w:tcW w:w="251" w:type="dxa"/>
            <w:vAlign w:val="center"/>
          </w:tcPr>
          <w:p w:rsidR="00C54130" w:rsidRPr="00ED79DB" w:rsidRDefault="007270C2" w:rsidP="00C54130">
            <w:pPr>
              <w:pStyle w:val="BodyText3"/>
              <w:spacing w:line="240" w:lineRule="auto"/>
              <w:ind w:right="0"/>
              <w:jc w:val="center"/>
              <w:rPr>
                <w:rFonts w:ascii="Times New Roman" w:hAnsi="Times New Roman"/>
                <w:color w:val="auto"/>
                <w:sz w:val="12"/>
                <w:szCs w:val="12"/>
                <w:lang w:eastAsia="zh-CN"/>
              </w:rPr>
            </w:pPr>
            <w:r w:rsidRPr="00ED79DB">
              <w:rPr>
                <w:rFonts w:ascii="Times New Roman" w:hAnsi="Times New Roman"/>
                <w:color w:val="auto"/>
                <w:sz w:val="12"/>
                <w:szCs w:val="12"/>
                <w:lang w:eastAsia="zh-CN"/>
              </w:rPr>
              <w:t>50</w:t>
            </w:r>
          </w:p>
        </w:tc>
        <w:tc>
          <w:tcPr>
            <w:tcW w:w="250" w:type="dxa"/>
            <w:vAlign w:val="center"/>
          </w:tcPr>
          <w:p w:rsidR="00C54130" w:rsidRPr="00ED79DB" w:rsidRDefault="007270C2" w:rsidP="00C54130">
            <w:pPr>
              <w:pStyle w:val="BodyText3"/>
              <w:spacing w:line="240" w:lineRule="auto"/>
              <w:ind w:right="0"/>
              <w:jc w:val="center"/>
              <w:rPr>
                <w:rFonts w:ascii="Times New Roman" w:hAnsi="Times New Roman"/>
                <w:color w:val="auto"/>
                <w:sz w:val="12"/>
                <w:szCs w:val="12"/>
              </w:rPr>
            </w:pPr>
            <w:r w:rsidRPr="00ED79DB">
              <w:rPr>
                <w:rFonts w:ascii="Times New Roman" w:hAnsi="Times New Roman"/>
                <w:color w:val="auto"/>
                <w:sz w:val="12"/>
                <w:szCs w:val="12"/>
              </w:rPr>
              <w:t>0</w:t>
            </w:r>
          </w:p>
        </w:tc>
        <w:tc>
          <w:tcPr>
            <w:tcW w:w="250" w:type="dxa"/>
            <w:vAlign w:val="center"/>
          </w:tcPr>
          <w:p w:rsidR="00C54130" w:rsidRPr="0040799C" w:rsidRDefault="007270C2" w:rsidP="00C54130">
            <w:pPr>
              <w:pStyle w:val="BodyText3"/>
              <w:spacing w:line="240" w:lineRule="auto"/>
              <w:ind w:right="0"/>
              <w:jc w:val="center"/>
              <w:rPr>
                <w:rFonts w:ascii="Times New Roman" w:hAnsi="Times New Roman"/>
                <w:color w:val="auto"/>
                <w:sz w:val="12"/>
                <w:szCs w:val="12"/>
                <w:lang w:eastAsia="zh-CN"/>
              </w:rPr>
            </w:pPr>
            <w:r w:rsidRPr="0040799C">
              <w:rPr>
                <w:rFonts w:ascii="Times New Roman" w:hAnsi="Times New Roman"/>
                <w:color w:val="auto"/>
                <w:sz w:val="12"/>
                <w:szCs w:val="12"/>
                <w:lang w:eastAsia="zh-CN"/>
              </w:rPr>
              <w:t>50</w:t>
            </w:r>
          </w:p>
        </w:tc>
        <w:tc>
          <w:tcPr>
            <w:tcW w:w="251" w:type="dxa"/>
            <w:vAlign w:val="center"/>
          </w:tcPr>
          <w:p w:rsidR="00C54130" w:rsidRPr="0040799C" w:rsidRDefault="007270C2" w:rsidP="00C54130">
            <w:pPr>
              <w:pStyle w:val="BodyText3"/>
              <w:spacing w:line="240" w:lineRule="auto"/>
              <w:ind w:right="0"/>
              <w:jc w:val="center"/>
              <w:rPr>
                <w:rFonts w:ascii="Times New Roman" w:hAnsi="Times New Roman"/>
                <w:color w:val="auto"/>
                <w:sz w:val="12"/>
                <w:szCs w:val="12"/>
                <w:lang w:eastAsia="zh-CN"/>
              </w:rPr>
            </w:pPr>
            <w:r w:rsidRPr="0040799C">
              <w:rPr>
                <w:rFonts w:ascii="Times New Roman" w:hAnsi="Times New Roman"/>
                <w:color w:val="auto"/>
                <w:sz w:val="12"/>
                <w:szCs w:val="12"/>
                <w:lang w:eastAsia="zh-CN"/>
              </w:rPr>
              <w:t>0</w:t>
            </w:r>
          </w:p>
        </w:tc>
      </w:tr>
      <w:tr w:rsidR="00872005" w:rsidTr="002305D1">
        <w:trPr>
          <w:trHeight w:val="170"/>
        </w:trPr>
        <w:tc>
          <w:tcPr>
            <w:tcW w:w="867" w:type="dxa"/>
            <w:vAlign w:val="center"/>
          </w:tcPr>
          <w:p w:rsidR="00C54130" w:rsidRPr="00ED79DB" w:rsidRDefault="007270C2" w:rsidP="00C54130">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auto"/>
                <w:spacing w:val="0"/>
                <w:sz w:val="12"/>
                <w:szCs w:val="12"/>
              </w:rPr>
            </w:pPr>
            <w:r w:rsidRPr="00ED79DB">
              <w:rPr>
                <w:rFonts w:ascii="Times New Roman" w:eastAsia="SimSun" w:hAnsi="Times New Roman"/>
                <w:color w:val="auto"/>
                <w:spacing w:val="0"/>
                <w:sz w:val="12"/>
                <w:szCs w:val="12"/>
              </w:rPr>
              <w:t>-50 % Mezní hodnota</w:t>
            </w:r>
          </w:p>
        </w:tc>
        <w:tc>
          <w:tcPr>
            <w:tcW w:w="251"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C54130" w:rsidRPr="0040799C" w:rsidRDefault="007270C2" w:rsidP="00C54130">
            <w:pPr>
              <w:pStyle w:val="BodyText3"/>
              <w:spacing w:line="240" w:lineRule="auto"/>
              <w:ind w:right="0"/>
              <w:jc w:val="center"/>
              <w:rPr>
                <w:rFonts w:ascii="Times New Roman" w:hAnsi="Times New Roman"/>
                <w:color w:val="auto"/>
                <w:sz w:val="12"/>
                <w:szCs w:val="12"/>
                <w:lang w:eastAsia="zh-CN"/>
              </w:rPr>
            </w:pPr>
            <w:r w:rsidRPr="0040799C">
              <w:rPr>
                <w:rFonts w:ascii="Times New Roman" w:hAnsi="Times New Roman"/>
                <w:color w:val="auto"/>
                <w:sz w:val="12"/>
                <w:szCs w:val="12"/>
                <w:lang w:eastAsia="zh-CN"/>
              </w:rPr>
              <w:t>50</w:t>
            </w:r>
          </w:p>
        </w:tc>
        <w:tc>
          <w:tcPr>
            <w:tcW w:w="251" w:type="dxa"/>
            <w:vAlign w:val="center"/>
          </w:tcPr>
          <w:p w:rsidR="00C54130" w:rsidRPr="0040799C" w:rsidRDefault="007270C2" w:rsidP="00C54130">
            <w:pPr>
              <w:pStyle w:val="BodyText3"/>
              <w:spacing w:line="240" w:lineRule="auto"/>
              <w:ind w:right="0"/>
              <w:jc w:val="center"/>
              <w:rPr>
                <w:rFonts w:ascii="Times New Roman" w:hAnsi="Times New Roman"/>
                <w:color w:val="auto"/>
                <w:sz w:val="12"/>
                <w:szCs w:val="12"/>
                <w:lang w:eastAsia="zh-CN"/>
              </w:rPr>
            </w:pPr>
            <w:r w:rsidRPr="0040799C">
              <w:rPr>
                <w:rFonts w:ascii="Times New Roman" w:hAnsi="Times New Roman"/>
                <w:color w:val="auto"/>
                <w:sz w:val="12"/>
                <w:szCs w:val="12"/>
                <w:lang w:eastAsia="zh-CN"/>
              </w:rPr>
              <w:t>0</w:t>
            </w:r>
          </w:p>
        </w:tc>
      </w:tr>
      <w:tr w:rsidR="00872005" w:rsidTr="002305D1">
        <w:trPr>
          <w:trHeight w:val="170"/>
        </w:trPr>
        <w:tc>
          <w:tcPr>
            <w:tcW w:w="867" w:type="dxa"/>
            <w:vAlign w:val="center"/>
          </w:tcPr>
          <w:p w:rsidR="00C54130" w:rsidRPr="00ED79DB" w:rsidRDefault="007270C2" w:rsidP="00C54130">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auto"/>
                <w:spacing w:val="0"/>
                <w:sz w:val="12"/>
                <w:szCs w:val="12"/>
              </w:rPr>
            </w:pPr>
            <w:r w:rsidRPr="00ED79DB">
              <w:rPr>
                <w:rFonts w:ascii="Times New Roman" w:eastAsia="SimSun" w:hAnsi="Times New Roman"/>
                <w:color w:val="auto"/>
                <w:spacing w:val="0"/>
                <w:sz w:val="12"/>
                <w:szCs w:val="12"/>
              </w:rPr>
              <w:t>-25 % Mezní hodnota</w:t>
            </w:r>
          </w:p>
        </w:tc>
        <w:tc>
          <w:tcPr>
            <w:tcW w:w="251"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rPr>
            </w:pPr>
            <w:r w:rsidRPr="00060D89">
              <w:rPr>
                <w:rFonts w:ascii="Times New Roman" w:hAnsi="Times New Roman"/>
                <w:color w:val="000000"/>
                <w:sz w:val="12"/>
                <w:szCs w:val="12"/>
              </w:rPr>
              <w:t>0</w:t>
            </w:r>
          </w:p>
        </w:tc>
        <w:tc>
          <w:tcPr>
            <w:tcW w:w="250" w:type="dxa"/>
            <w:vAlign w:val="center"/>
          </w:tcPr>
          <w:p w:rsidR="00C54130" w:rsidRPr="0040799C" w:rsidRDefault="007270C2" w:rsidP="00C54130">
            <w:pPr>
              <w:pStyle w:val="BodyText3"/>
              <w:spacing w:line="240" w:lineRule="auto"/>
              <w:ind w:right="0"/>
              <w:jc w:val="center"/>
              <w:rPr>
                <w:rFonts w:ascii="Times New Roman" w:hAnsi="Times New Roman"/>
                <w:color w:val="auto"/>
                <w:sz w:val="12"/>
                <w:szCs w:val="12"/>
                <w:lang w:eastAsia="zh-CN"/>
              </w:rPr>
            </w:pPr>
            <w:r w:rsidRPr="0040799C">
              <w:rPr>
                <w:rFonts w:ascii="Times New Roman" w:hAnsi="Times New Roman"/>
                <w:color w:val="auto"/>
                <w:sz w:val="12"/>
                <w:szCs w:val="12"/>
                <w:lang w:eastAsia="zh-CN"/>
              </w:rPr>
              <w:t>50</w:t>
            </w:r>
          </w:p>
        </w:tc>
        <w:tc>
          <w:tcPr>
            <w:tcW w:w="251" w:type="dxa"/>
            <w:vAlign w:val="center"/>
          </w:tcPr>
          <w:p w:rsidR="00C54130" w:rsidRPr="0040799C" w:rsidRDefault="007270C2" w:rsidP="00C54130">
            <w:pPr>
              <w:pStyle w:val="BodyText3"/>
              <w:spacing w:line="240" w:lineRule="auto"/>
              <w:ind w:right="0"/>
              <w:jc w:val="center"/>
              <w:rPr>
                <w:rFonts w:ascii="Times New Roman" w:hAnsi="Times New Roman"/>
                <w:color w:val="auto"/>
                <w:sz w:val="12"/>
                <w:szCs w:val="12"/>
                <w:lang w:eastAsia="zh-CN"/>
              </w:rPr>
            </w:pPr>
            <w:r w:rsidRPr="0040799C">
              <w:rPr>
                <w:rFonts w:ascii="Times New Roman" w:hAnsi="Times New Roman"/>
                <w:color w:val="auto"/>
                <w:sz w:val="12"/>
                <w:szCs w:val="12"/>
                <w:lang w:eastAsia="zh-CN"/>
              </w:rPr>
              <w:t>0</w:t>
            </w:r>
          </w:p>
        </w:tc>
      </w:tr>
      <w:tr w:rsidR="00872005" w:rsidTr="002305D1">
        <w:trPr>
          <w:trHeight w:val="170"/>
        </w:trPr>
        <w:tc>
          <w:tcPr>
            <w:tcW w:w="867" w:type="dxa"/>
            <w:vAlign w:val="center"/>
          </w:tcPr>
          <w:p w:rsidR="00C54130" w:rsidRPr="00ED79DB" w:rsidRDefault="007270C2" w:rsidP="00C54130">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auto"/>
                <w:spacing w:val="0"/>
                <w:sz w:val="12"/>
                <w:szCs w:val="12"/>
              </w:rPr>
            </w:pPr>
            <w:r w:rsidRPr="00ED79DB">
              <w:rPr>
                <w:rFonts w:ascii="Times New Roman" w:eastAsia="SimSun" w:hAnsi="Times New Roman"/>
                <w:color w:val="auto"/>
                <w:spacing w:val="0"/>
                <w:sz w:val="12"/>
                <w:szCs w:val="12"/>
              </w:rPr>
              <w:t>Hranice</w:t>
            </w:r>
          </w:p>
        </w:tc>
        <w:tc>
          <w:tcPr>
            <w:tcW w:w="251" w:type="dxa"/>
            <w:vAlign w:val="center"/>
          </w:tcPr>
          <w:p w:rsidR="00C54130" w:rsidRPr="00060D89" w:rsidRDefault="007270C2" w:rsidP="00C54130">
            <w:pPr>
              <w:jc w:val="center"/>
              <w:rPr>
                <w:rFonts w:ascii="Times New Roman" w:hAnsi="Times New Roman"/>
                <w:color w:val="000000"/>
                <w:sz w:val="12"/>
                <w:szCs w:val="12"/>
              </w:rPr>
            </w:pPr>
            <w:r w:rsidRPr="00060D89">
              <w:rPr>
                <w:rFonts w:ascii="Times New Roman" w:hAnsi="Times New Roman"/>
                <w:color w:val="000000"/>
                <w:sz w:val="12"/>
                <w:szCs w:val="12"/>
              </w:rPr>
              <w:t>22</w:t>
            </w:r>
          </w:p>
        </w:tc>
        <w:tc>
          <w:tcPr>
            <w:tcW w:w="251" w:type="dxa"/>
            <w:vAlign w:val="center"/>
          </w:tcPr>
          <w:p w:rsidR="00C54130" w:rsidRPr="00060D89" w:rsidRDefault="007270C2" w:rsidP="00C54130">
            <w:pPr>
              <w:overflowPunct w:val="0"/>
              <w:autoSpaceDE w:val="0"/>
              <w:autoSpaceDN w:val="0"/>
              <w:adjustRightInd w:val="0"/>
              <w:jc w:val="center"/>
              <w:textAlignment w:val="baseline"/>
              <w:rPr>
                <w:rFonts w:ascii="Times New Roman" w:hAnsi="Times New Roman"/>
                <w:color w:val="000000"/>
                <w:sz w:val="12"/>
                <w:szCs w:val="12"/>
              </w:rPr>
            </w:pPr>
            <w:r w:rsidRPr="00060D89">
              <w:rPr>
                <w:rFonts w:ascii="Times New Roman" w:hAnsi="Times New Roman"/>
                <w:color w:val="000000"/>
                <w:sz w:val="12"/>
                <w:szCs w:val="12"/>
              </w:rPr>
              <w:t>28</w:t>
            </w:r>
          </w:p>
        </w:tc>
        <w:tc>
          <w:tcPr>
            <w:tcW w:w="251"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22</w:t>
            </w:r>
          </w:p>
        </w:tc>
        <w:tc>
          <w:tcPr>
            <w:tcW w:w="250"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28</w:t>
            </w:r>
          </w:p>
        </w:tc>
        <w:tc>
          <w:tcPr>
            <w:tcW w:w="250" w:type="dxa"/>
            <w:vAlign w:val="center"/>
          </w:tcPr>
          <w:p w:rsidR="00C54130" w:rsidRPr="0040799C" w:rsidRDefault="007270C2" w:rsidP="00C54130">
            <w:pPr>
              <w:pStyle w:val="BodyText3"/>
              <w:spacing w:line="240" w:lineRule="auto"/>
              <w:ind w:right="0"/>
              <w:jc w:val="center"/>
              <w:rPr>
                <w:rFonts w:ascii="Times New Roman" w:hAnsi="Times New Roman"/>
                <w:color w:val="auto"/>
                <w:sz w:val="12"/>
                <w:szCs w:val="12"/>
                <w:lang w:eastAsia="zh-CN"/>
              </w:rPr>
            </w:pPr>
            <w:r w:rsidRPr="0040799C">
              <w:rPr>
                <w:rFonts w:ascii="Times New Roman" w:hAnsi="Times New Roman"/>
                <w:color w:val="auto"/>
                <w:sz w:val="12"/>
                <w:szCs w:val="12"/>
                <w:lang w:eastAsia="zh-CN"/>
              </w:rPr>
              <w:t>24</w:t>
            </w:r>
          </w:p>
        </w:tc>
        <w:tc>
          <w:tcPr>
            <w:tcW w:w="251" w:type="dxa"/>
            <w:vAlign w:val="center"/>
          </w:tcPr>
          <w:p w:rsidR="00C54130" w:rsidRPr="0040799C" w:rsidRDefault="007270C2" w:rsidP="00C54130">
            <w:pPr>
              <w:pStyle w:val="BodyText3"/>
              <w:spacing w:line="240" w:lineRule="auto"/>
              <w:ind w:right="0"/>
              <w:jc w:val="center"/>
              <w:rPr>
                <w:rFonts w:ascii="Times New Roman" w:hAnsi="Times New Roman"/>
                <w:color w:val="auto"/>
                <w:sz w:val="12"/>
                <w:szCs w:val="12"/>
                <w:lang w:eastAsia="zh-CN"/>
              </w:rPr>
            </w:pPr>
            <w:r w:rsidRPr="0040799C">
              <w:rPr>
                <w:rFonts w:ascii="Times New Roman" w:hAnsi="Times New Roman"/>
                <w:color w:val="auto"/>
                <w:sz w:val="12"/>
                <w:szCs w:val="12"/>
                <w:lang w:eastAsia="zh-CN"/>
              </w:rPr>
              <w:t>26</w:t>
            </w:r>
          </w:p>
        </w:tc>
      </w:tr>
      <w:tr w:rsidR="00872005" w:rsidTr="002305D1">
        <w:trPr>
          <w:trHeight w:val="170"/>
        </w:trPr>
        <w:tc>
          <w:tcPr>
            <w:tcW w:w="867" w:type="dxa"/>
            <w:vAlign w:val="center"/>
          </w:tcPr>
          <w:p w:rsidR="00C54130" w:rsidRPr="00ED79DB" w:rsidRDefault="007270C2" w:rsidP="00C54130">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auto"/>
                <w:spacing w:val="0"/>
                <w:sz w:val="12"/>
                <w:szCs w:val="12"/>
              </w:rPr>
            </w:pPr>
            <w:r w:rsidRPr="00ED79DB">
              <w:rPr>
                <w:rFonts w:ascii="Times New Roman" w:eastAsia="SimSun" w:hAnsi="Times New Roman"/>
                <w:color w:val="auto"/>
                <w:spacing w:val="0"/>
                <w:sz w:val="12"/>
                <w:szCs w:val="12"/>
              </w:rPr>
              <w:t>+25 % Mezní hodnota</w:t>
            </w:r>
          </w:p>
        </w:tc>
        <w:tc>
          <w:tcPr>
            <w:tcW w:w="251"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C54130" w:rsidRPr="0040799C" w:rsidRDefault="007270C2" w:rsidP="00C54130">
            <w:pPr>
              <w:pStyle w:val="BodyText3"/>
              <w:spacing w:line="240" w:lineRule="auto"/>
              <w:ind w:right="0"/>
              <w:jc w:val="center"/>
              <w:rPr>
                <w:rFonts w:ascii="Times New Roman" w:hAnsi="Times New Roman"/>
                <w:color w:val="auto"/>
                <w:sz w:val="12"/>
                <w:szCs w:val="12"/>
                <w:lang w:eastAsia="zh-CN"/>
              </w:rPr>
            </w:pPr>
            <w:r w:rsidRPr="0040799C">
              <w:rPr>
                <w:rFonts w:ascii="Times New Roman" w:hAnsi="Times New Roman"/>
                <w:color w:val="auto"/>
                <w:sz w:val="12"/>
                <w:szCs w:val="12"/>
                <w:lang w:eastAsia="zh-CN"/>
              </w:rPr>
              <w:t>0</w:t>
            </w:r>
          </w:p>
        </w:tc>
        <w:tc>
          <w:tcPr>
            <w:tcW w:w="251" w:type="dxa"/>
            <w:vAlign w:val="center"/>
          </w:tcPr>
          <w:p w:rsidR="00C54130" w:rsidRPr="0040799C" w:rsidRDefault="007270C2" w:rsidP="00C54130">
            <w:pPr>
              <w:pStyle w:val="BodyText3"/>
              <w:spacing w:line="240" w:lineRule="auto"/>
              <w:ind w:right="0"/>
              <w:jc w:val="center"/>
              <w:rPr>
                <w:rFonts w:ascii="Times New Roman" w:hAnsi="Times New Roman"/>
                <w:color w:val="auto"/>
                <w:sz w:val="12"/>
                <w:szCs w:val="12"/>
                <w:lang w:eastAsia="zh-CN"/>
              </w:rPr>
            </w:pPr>
            <w:r w:rsidRPr="0040799C">
              <w:rPr>
                <w:rFonts w:ascii="Times New Roman" w:hAnsi="Times New Roman"/>
                <w:color w:val="auto"/>
                <w:sz w:val="12"/>
                <w:szCs w:val="12"/>
                <w:lang w:eastAsia="zh-CN"/>
              </w:rPr>
              <w:t>50</w:t>
            </w:r>
          </w:p>
        </w:tc>
      </w:tr>
      <w:tr w:rsidR="00872005" w:rsidTr="002305D1">
        <w:trPr>
          <w:trHeight w:val="170"/>
        </w:trPr>
        <w:tc>
          <w:tcPr>
            <w:tcW w:w="867" w:type="dxa"/>
            <w:vAlign w:val="center"/>
          </w:tcPr>
          <w:p w:rsidR="00C54130" w:rsidRPr="00ED79DB" w:rsidRDefault="007270C2" w:rsidP="00C54130">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auto"/>
                <w:spacing w:val="0"/>
                <w:sz w:val="12"/>
                <w:szCs w:val="12"/>
              </w:rPr>
            </w:pPr>
            <w:r w:rsidRPr="00ED79DB">
              <w:rPr>
                <w:rFonts w:ascii="Times New Roman" w:eastAsia="SimSun" w:hAnsi="Times New Roman"/>
                <w:color w:val="auto"/>
                <w:spacing w:val="0"/>
                <w:sz w:val="12"/>
                <w:szCs w:val="12"/>
              </w:rPr>
              <w:t>+50 % Mezní hodnota</w:t>
            </w:r>
          </w:p>
        </w:tc>
        <w:tc>
          <w:tcPr>
            <w:tcW w:w="251"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C54130" w:rsidRPr="0040799C" w:rsidRDefault="007270C2" w:rsidP="00C54130">
            <w:pPr>
              <w:pStyle w:val="BodyText3"/>
              <w:spacing w:line="240" w:lineRule="auto"/>
              <w:ind w:right="0"/>
              <w:jc w:val="center"/>
              <w:rPr>
                <w:rFonts w:ascii="Times New Roman" w:hAnsi="Times New Roman"/>
                <w:color w:val="auto"/>
                <w:sz w:val="12"/>
                <w:szCs w:val="12"/>
                <w:lang w:eastAsia="zh-CN"/>
              </w:rPr>
            </w:pPr>
            <w:r w:rsidRPr="0040799C">
              <w:rPr>
                <w:rFonts w:ascii="Times New Roman" w:hAnsi="Times New Roman"/>
                <w:color w:val="auto"/>
                <w:sz w:val="12"/>
                <w:szCs w:val="12"/>
                <w:lang w:eastAsia="zh-CN"/>
              </w:rPr>
              <w:t>0</w:t>
            </w:r>
          </w:p>
        </w:tc>
        <w:tc>
          <w:tcPr>
            <w:tcW w:w="251" w:type="dxa"/>
            <w:vAlign w:val="center"/>
          </w:tcPr>
          <w:p w:rsidR="00C54130" w:rsidRPr="0040799C" w:rsidRDefault="007270C2" w:rsidP="00C54130">
            <w:pPr>
              <w:pStyle w:val="BodyText3"/>
              <w:spacing w:line="240" w:lineRule="auto"/>
              <w:ind w:right="0"/>
              <w:jc w:val="center"/>
              <w:rPr>
                <w:rFonts w:ascii="Times New Roman" w:hAnsi="Times New Roman"/>
                <w:color w:val="auto"/>
                <w:sz w:val="12"/>
                <w:szCs w:val="12"/>
                <w:lang w:eastAsia="zh-CN"/>
              </w:rPr>
            </w:pPr>
            <w:r w:rsidRPr="0040799C">
              <w:rPr>
                <w:rFonts w:ascii="Times New Roman" w:hAnsi="Times New Roman"/>
                <w:color w:val="auto"/>
                <w:sz w:val="12"/>
                <w:szCs w:val="12"/>
                <w:lang w:eastAsia="zh-CN"/>
              </w:rPr>
              <w:t>50</w:t>
            </w:r>
          </w:p>
        </w:tc>
      </w:tr>
      <w:tr w:rsidR="00872005" w:rsidTr="002305D1">
        <w:trPr>
          <w:trHeight w:val="170"/>
        </w:trPr>
        <w:tc>
          <w:tcPr>
            <w:tcW w:w="867" w:type="dxa"/>
            <w:vAlign w:val="center"/>
          </w:tcPr>
          <w:p w:rsidR="00C54130" w:rsidRPr="00ED79DB" w:rsidRDefault="007270C2" w:rsidP="00C54130">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auto"/>
                <w:spacing w:val="0"/>
                <w:sz w:val="12"/>
                <w:szCs w:val="12"/>
              </w:rPr>
            </w:pPr>
            <w:r w:rsidRPr="00ED79DB">
              <w:rPr>
                <w:rFonts w:ascii="Times New Roman" w:eastAsia="SimSun" w:hAnsi="Times New Roman"/>
                <w:color w:val="auto"/>
                <w:spacing w:val="0"/>
                <w:sz w:val="12"/>
                <w:szCs w:val="12"/>
              </w:rPr>
              <w:t>+75 % Mezní hodnota</w:t>
            </w:r>
          </w:p>
        </w:tc>
        <w:tc>
          <w:tcPr>
            <w:tcW w:w="251"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1"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1"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0</w:t>
            </w:r>
          </w:p>
        </w:tc>
        <w:tc>
          <w:tcPr>
            <w:tcW w:w="250" w:type="dxa"/>
            <w:vAlign w:val="center"/>
          </w:tcPr>
          <w:p w:rsidR="00C54130" w:rsidRPr="00060D89" w:rsidRDefault="007270C2" w:rsidP="00C54130">
            <w:pPr>
              <w:pStyle w:val="BodyText3"/>
              <w:spacing w:line="240" w:lineRule="auto"/>
              <w:ind w:right="0"/>
              <w:jc w:val="center"/>
              <w:rPr>
                <w:rFonts w:ascii="Times New Roman" w:hAnsi="Times New Roman"/>
                <w:color w:val="000000"/>
                <w:sz w:val="12"/>
                <w:szCs w:val="12"/>
                <w:lang w:eastAsia="zh-CN"/>
              </w:rPr>
            </w:pPr>
            <w:r w:rsidRPr="00060D89">
              <w:rPr>
                <w:rFonts w:ascii="Times New Roman" w:hAnsi="Times New Roman"/>
                <w:color w:val="000000"/>
                <w:sz w:val="12"/>
                <w:szCs w:val="12"/>
                <w:lang w:eastAsia="zh-CN"/>
              </w:rPr>
              <w:t>50</w:t>
            </w:r>
          </w:p>
        </w:tc>
        <w:tc>
          <w:tcPr>
            <w:tcW w:w="250" w:type="dxa"/>
            <w:vAlign w:val="center"/>
          </w:tcPr>
          <w:p w:rsidR="00C54130" w:rsidRPr="0040799C" w:rsidRDefault="007270C2" w:rsidP="00C54130">
            <w:pPr>
              <w:pStyle w:val="BodyText3"/>
              <w:spacing w:line="240" w:lineRule="auto"/>
              <w:ind w:right="0"/>
              <w:jc w:val="center"/>
              <w:rPr>
                <w:rFonts w:ascii="Times New Roman" w:hAnsi="Times New Roman"/>
                <w:color w:val="auto"/>
                <w:sz w:val="12"/>
                <w:szCs w:val="12"/>
                <w:lang w:eastAsia="zh-CN"/>
              </w:rPr>
            </w:pPr>
            <w:r w:rsidRPr="0040799C">
              <w:rPr>
                <w:rFonts w:ascii="Times New Roman" w:hAnsi="Times New Roman"/>
                <w:color w:val="auto"/>
                <w:sz w:val="12"/>
                <w:szCs w:val="12"/>
                <w:lang w:eastAsia="zh-CN"/>
              </w:rPr>
              <w:t>0</w:t>
            </w:r>
          </w:p>
        </w:tc>
        <w:tc>
          <w:tcPr>
            <w:tcW w:w="251" w:type="dxa"/>
            <w:vAlign w:val="center"/>
          </w:tcPr>
          <w:p w:rsidR="00C54130" w:rsidRPr="0040799C" w:rsidRDefault="007270C2" w:rsidP="00C54130">
            <w:pPr>
              <w:pStyle w:val="BodyText3"/>
              <w:spacing w:line="240" w:lineRule="auto"/>
              <w:ind w:right="0"/>
              <w:jc w:val="center"/>
              <w:rPr>
                <w:rFonts w:ascii="Times New Roman" w:hAnsi="Times New Roman"/>
                <w:color w:val="auto"/>
                <w:sz w:val="12"/>
                <w:szCs w:val="12"/>
                <w:lang w:eastAsia="zh-CN"/>
              </w:rPr>
            </w:pPr>
            <w:r w:rsidRPr="0040799C">
              <w:rPr>
                <w:rFonts w:ascii="Times New Roman" w:hAnsi="Times New Roman"/>
                <w:color w:val="auto"/>
                <w:sz w:val="12"/>
                <w:szCs w:val="12"/>
                <w:lang w:eastAsia="zh-CN"/>
              </w:rPr>
              <w:t>50</w:t>
            </w:r>
          </w:p>
        </w:tc>
      </w:tr>
      <w:tr w:rsidR="00872005" w:rsidTr="002305D1">
        <w:trPr>
          <w:trHeight w:val="170"/>
        </w:trPr>
        <w:tc>
          <w:tcPr>
            <w:tcW w:w="867" w:type="dxa"/>
            <w:tcBorders>
              <w:bottom w:val="single" w:sz="4" w:space="0" w:color="auto"/>
            </w:tcBorders>
            <w:vAlign w:val="center"/>
          </w:tcPr>
          <w:p w:rsidR="00C54130" w:rsidRPr="00ED79DB" w:rsidRDefault="007270C2" w:rsidP="00C54130">
            <w:pPr>
              <w:pStyle w:val="BodyTextIndent2"/>
              <w:widowControl/>
              <w:tabs>
                <w:tab w:val="left" w:pos="720"/>
                <w:tab w:val="left" w:pos="1440"/>
                <w:tab w:val="left" w:pos="6120"/>
              </w:tabs>
              <w:overflowPunct/>
              <w:autoSpaceDE/>
              <w:autoSpaceDN/>
              <w:adjustRightInd/>
              <w:spacing w:line="240" w:lineRule="auto"/>
              <w:ind w:left="0" w:firstLine="0"/>
              <w:jc w:val="center"/>
              <w:textAlignment w:val="auto"/>
              <w:rPr>
                <w:rFonts w:ascii="Times New Roman" w:eastAsia="SimSun" w:hAnsi="Times New Roman"/>
                <w:color w:val="auto"/>
                <w:spacing w:val="0"/>
                <w:sz w:val="12"/>
                <w:szCs w:val="12"/>
              </w:rPr>
            </w:pPr>
            <w:r w:rsidRPr="00ED79DB">
              <w:rPr>
                <w:rFonts w:ascii="Times New Roman" w:eastAsia="SimSun" w:hAnsi="Times New Roman"/>
                <w:color w:val="auto"/>
                <w:spacing w:val="0"/>
                <w:sz w:val="12"/>
                <w:szCs w:val="12"/>
              </w:rPr>
              <w:t>+100 % Mezní hodnota</w:t>
            </w:r>
          </w:p>
        </w:tc>
        <w:tc>
          <w:tcPr>
            <w:tcW w:w="251" w:type="dxa"/>
            <w:tcBorders>
              <w:bottom w:val="single" w:sz="4" w:space="0" w:color="auto"/>
            </w:tcBorders>
            <w:vAlign w:val="center"/>
          </w:tcPr>
          <w:p w:rsidR="00C54130" w:rsidRPr="00ED79DB" w:rsidRDefault="007270C2" w:rsidP="00C54130">
            <w:pPr>
              <w:pStyle w:val="BodyText3"/>
              <w:spacing w:line="240" w:lineRule="auto"/>
              <w:ind w:right="0"/>
              <w:jc w:val="center"/>
              <w:rPr>
                <w:rFonts w:ascii="Times New Roman" w:hAnsi="Times New Roman"/>
                <w:color w:val="auto"/>
                <w:sz w:val="12"/>
                <w:szCs w:val="12"/>
                <w:lang w:eastAsia="zh-CN"/>
              </w:rPr>
            </w:pPr>
            <w:r w:rsidRPr="00ED79DB">
              <w:rPr>
                <w:rFonts w:ascii="Times New Roman" w:hAnsi="Times New Roman"/>
                <w:color w:val="auto"/>
                <w:sz w:val="12"/>
                <w:szCs w:val="12"/>
                <w:lang w:eastAsia="zh-CN"/>
              </w:rPr>
              <w:t>0</w:t>
            </w:r>
          </w:p>
        </w:tc>
        <w:tc>
          <w:tcPr>
            <w:tcW w:w="251" w:type="dxa"/>
            <w:tcBorders>
              <w:bottom w:val="single" w:sz="4" w:space="0" w:color="auto"/>
            </w:tcBorders>
            <w:vAlign w:val="center"/>
          </w:tcPr>
          <w:p w:rsidR="00C54130" w:rsidRPr="00ED79DB" w:rsidRDefault="007270C2" w:rsidP="00C54130">
            <w:pPr>
              <w:pStyle w:val="BodyText3"/>
              <w:spacing w:line="240" w:lineRule="auto"/>
              <w:ind w:right="0"/>
              <w:jc w:val="center"/>
              <w:rPr>
                <w:rFonts w:ascii="Times New Roman" w:hAnsi="Times New Roman"/>
                <w:color w:val="auto"/>
                <w:sz w:val="12"/>
                <w:szCs w:val="12"/>
                <w:lang w:eastAsia="zh-CN"/>
              </w:rPr>
            </w:pPr>
            <w:r w:rsidRPr="00ED79DB">
              <w:rPr>
                <w:rFonts w:ascii="Times New Roman" w:hAnsi="Times New Roman"/>
                <w:color w:val="auto"/>
                <w:sz w:val="12"/>
                <w:szCs w:val="12"/>
                <w:lang w:eastAsia="zh-CN"/>
              </w:rPr>
              <w:t>50</w:t>
            </w:r>
          </w:p>
        </w:tc>
        <w:tc>
          <w:tcPr>
            <w:tcW w:w="251" w:type="dxa"/>
            <w:tcBorders>
              <w:bottom w:val="single" w:sz="4" w:space="0" w:color="auto"/>
            </w:tcBorders>
            <w:vAlign w:val="center"/>
          </w:tcPr>
          <w:p w:rsidR="00C54130" w:rsidRPr="00ED79DB" w:rsidRDefault="007270C2" w:rsidP="00C54130">
            <w:pPr>
              <w:pStyle w:val="BodyText3"/>
              <w:spacing w:line="240" w:lineRule="auto"/>
              <w:ind w:right="0"/>
              <w:jc w:val="center"/>
              <w:rPr>
                <w:rFonts w:ascii="Times New Roman" w:hAnsi="Times New Roman"/>
                <w:color w:val="auto"/>
                <w:sz w:val="12"/>
                <w:szCs w:val="12"/>
                <w:lang w:eastAsia="zh-CN"/>
              </w:rPr>
            </w:pPr>
            <w:r w:rsidRPr="00ED79DB">
              <w:rPr>
                <w:rFonts w:ascii="Times New Roman" w:hAnsi="Times New Roman"/>
                <w:color w:val="auto"/>
                <w:sz w:val="12"/>
                <w:szCs w:val="12"/>
                <w:lang w:eastAsia="zh-CN"/>
              </w:rPr>
              <w:t>0</w:t>
            </w:r>
          </w:p>
        </w:tc>
        <w:tc>
          <w:tcPr>
            <w:tcW w:w="250" w:type="dxa"/>
            <w:tcBorders>
              <w:bottom w:val="single" w:sz="4" w:space="0" w:color="auto"/>
            </w:tcBorders>
            <w:vAlign w:val="center"/>
          </w:tcPr>
          <w:p w:rsidR="00C54130" w:rsidRPr="00ED79DB" w:rsidRDefault="007270C2" w:rsidP="00C54130">
            <w:pPr>
              <w:pStyle w:val="BodyText3"/>
              <w:spacing w:line="240" w:lineRule="auto"/>
              <w:ind w:right="0"/>
              <w:jc w:val="center"/>
              <w:rPr>
                <w:rFonts w:ascii="Times New Roman" w:hAnsi="Times New Roman"/>
                <w:color w:val="auto"/>
                <w:sz w:val="12"/>
                <w:szCs w:val="12"/>
                <w:lang w:eastAsia="zh-CN"/>
              </w:rPr>
            </w:pPr>
            <w:r w:rsidRPr="00ED79DB">
              <w:rPr>
                <w:rFonts w:ascii="Times New Roman" w:hAnsi="Times New Roman"/>
                <w:color w:val="auto"/>
                <w:sz w:val="12"/>
                <w:szCs w:val="12"/>
                <w:lang w:eastAsia="zh-CN"/>
              </w:rPr>
              <w:t>50</w:t>
            </w:r>
          </w:p>
        </w:tc>
        <w:tc>
          <w:tcPr>
            <w:tcW w:w="250" w:type="dxa"/>
            <w:tcBorders>
              <w:bottom w:val="single" w:sz="4" w:space="0" w:color="auto"/>
            </w:tcBorders>
            <w:vAlign w:val="center"/>
          </w:tcPr>
          <w:p w:rsidR="00C54130" w:rsidRPr="0040799C" w:rsidRDefault="007270C2" w:rsidP="00C54130">
            <w:pPr>
              <w:pStyle w:val="BodyText3"/>
              <w:spacing w:line="240" w:lineRule="auto"/>
              <w:ind w:right="0"/>
              <w:jc w:val="center"/>
              <w:rPr>
                <w:rFonts w:ascii="Times New Roman" w:hAnsi="Times New Roman"/>
                <w:color w:val="auto"/>
                <w:sz w:val="12"/>
                <w:szCs w:val="12"/>
                <w:lang w:eastAsia="zh-CN"/>
              </w:rPr>
            </w:pPr>
            <w:r w:rsidRPr="0040799C">
              <w:rPr>
                <w:rFonts w:ascii="Times New Roman" w:hAnsi="Times New Roman"/>
                <w:color w:val="auto"/>
                <w:sz w:val="12"/>
                <w:szCs w:val="12"/>
                <w:lang w:eastAsia="zh-CN"/>
              </w:rPr>
              <w:t>0</w:t>
            </w:r>
          </w:p>
        </w:tc>
        <w:tc>
          <w:tcPr>
            <w:tcW w:w="251" w:type="dxa"/>
            <w:tcBorders>
              <w:bottom w:val="single" w:sz="4" w:space="0" w:color="auto"/>
            </w:tcBorders>
            <w:vAlign w:val="center"/>
          </w:tcPr>
          <w:p w:rsidR="00C54130" w:rsidRPr="0040799C" w:rsidRDefault="007270C2" w:rsidP="00C54130">
            <w:pPr>
              <w:pStyle w:val="BodyText3"/>
              <w:spacing w:line="240" w:lineRule="auto"/>
              <w:ind w:right="0"/>
              <w:jc w:val="center"/>
              <w:rPr>
                <w:rFonts w:ascii="Times New Roman" w:hAnsi="Times New Roman"/>
                <w:color w:val="auto"/>
                <w:sz w:val="12"/>
                <w:szCs w:val="12"/>
                <w:lang w:eastAsia="zh-CN"/>
              </w:rPr>
            </w:pPr>
            <w:r w:rsidRPr="0040799C">
              <w:rPr>
                <w:rFonts w:ascii="Times New Roman" w:hAnsi="Times New Roman"/>
                <w:color w:val="auto"/>
                <w:sz w:val="12"/>
                <w:szCs w:val="12"/>
                <w:lang w:eastAsia="zh-CN"/>
              </w:rPr>
              <w:t>50</w:t>
            </w:r>
          </w:p>
        </w:tc>
      </w:tr>
    </w:tbl>
    <w:p w:rsidR="00EE7251" w:rsidRDefault="007270C2">
      <w:pPr>
        <w:pStyle w:val="Heading8"/>
        <w:spacing w:before="80" w:after="80" w:line="0" w:lineRule="atLeast"/>
        <w:rPr>
          <w:rFonts w:ascii="Times New Roman" w:hAnsi="Times New Roman"/>
          <w:sz w:val="12"/>
          <w:szCs w:val="12"/>
          <w:highlight w:val="black"/>
        </w:rPr>
      </w:pPr>
      <w:r>
        <w:rPr>
          <w:rFonts w:ascii="Times New Roman" w:hAnsi="Times New Roman"/>
          <w:sz w:val="12"/>
          <w:szCs w:val="12"/>
          <w:highlight w:val="black"/>
        </w:rPr>
        <w:t>Vliv specifické hmotnosti moči</w:t>
      </w:r>
    </w:p>
    <w:p w:rsidR="00EE7251" w:rsidRDefault="007270C2">
      <w:pPr>
        <w:pStyle w:val="BodyText3"/>
        <w:spacing w:beforeLines="10" w:before="24" w:afterLines="10" w:after="24" w:line="0" w:lineRule="atLeast"/>
        <w:ind w:right="0"/>
        <w:rPr>
          <w:rFonts w:ascii="Times New Roman" w:hAnsi="Times New Roman"/>
          <w:color w:val="auto"/>
          <w:spacing w:val="0"/>
          <w:sz w:val="12"/>
          <w:szCs w:val="12"/>
          <w:lang w:eastAsia="zh-CN"/>
        </w:rPr>
      </w:pPr>
      <w:r>
        <w:rPr>
          <w:rFonts w:ascii="Times New Roman" w:hAnsi="Times New Roman"/>
          <w:color w:val="auto"/>
          <w:spacing w:val="0"/>
          <w:sz w:val="12"/>
          <w:szCs w:val="12"/>
        </w:rPr>
        <w:t xml:space="preserve">Dvanáct </w:t>
      </w:r>
      <w:r>
        <w:rPr>
          <w:rFonts w:ascii="Times New Roman" w:hAnsi="Times New Roman"/>
          <w:color w:val="auto"/>
          <w:spacing w:val="0"/>
          <w:sz w:val="12"/>
          <w:szCs w:val="12"/>
          <w:lang w:eastAsia="zh-CN"/>
        </w:rPr>
        <w:t>(</w:t>
      </w:r>
      <w:r>
        <w:rPr>
          <w:rFonts w:ascii="Times New Roman" w:hAnsi="Times New Roman"/>
          <w:color w:val="auto"/>
          <w:spacing w:val="0"/>
          <w:sz w:val="12"/>
          <w:szCs w:val="12"/>
        </w:rPr>
        <w:t>12</w:t>
      </w:r>
      <w:r>
        <w:rPr>
          <w:rFonts w:ascii="Times New Roman" w:hAnsi="Times New Roman"/>
          <w:color w:val="auto"/>
          <w:spacing w:val="0"/>
          <w:sz w:val="12"/>
          <w:szCs w:val="12"/>
          <w:lang w:eastAsia="zh-CN"/>
        </w:rPr>
        <w:t xml:space="preserve">) </w:t>
      </w:r>
      <w:r>
        <w:rPr>
          <w:rFonts w:ascii="Times New Roman" w:hAnsi="Times New Roman"/>
          <w:color w:val="auto"/>
          <w:spacing w:val="0"/>
          <w:sz w:val="12"/>
          <w:szCs w:val="12"/>
        </w:rPr>
        <w:t xml:space="preserve">vzorků moči s normální, vysokou a nízkou specifickou hmotností </w:t>
      </w:r>
      <w:r>
        <w:rPr>
          <w:rFonts w:ascii="Times New Roman" w:hAnsi="Times New Roman"/>
          <w:color w:val="auto"/>
          <w:spacing w:val="0"/>
          <w:sz w:val="12"/>
          <w:szCs w:val="12"/>
          <w:lang w:eastAsia="zh-CN"/>
        </w:rPr>
        <w:t>v rozmezí od</w:t>
      </w:r>
      <w:r>
        <w:rPr>
          <w:rFonts w:ascii="Times New Roman" w:hAnsi="Times New Roman"/>
          <w:color w:val="auto"/>
          <w:spacing w:val="0"/>
          <w:sz w:val="12"/>
          <w:szCs w:val="12"/>
        </w:rPr>
        <w:t xml:space="preserve"> 1,000 do 1,035 bylo obohaceno o drogy v koncentracích o 50 % nižších, resp. o 50 % vyšších než jsou mezní hodnoty. </w:t>
      </w:r>
      <w:r>
        <w:rPr>
          <w:rFonts w:ascii="Times New Roman" w:hAnsi="Times New Roman"/>
          <w:b/>
          <w:color w:val="auto"/>
          <w:sz w:val="12"/>
          <w:szCs w:val="12"/>
        </w:rPr>
        <w:t xml:space="preserve">Testovací proužek One Step Drugs of Abuse Test Dip Card (moč) </w:t>
      </w:r>
      <w:r>
        <w:rPr>
          <w:rFonts w:ascii="Times New Roman" w:hAnsi="Times New Roman"/>
          <w:color w:val="auto"/>
          <w:spacing w:val="0"/>
          <w:sz w:val="12"/>
          <w:szCs w:val="12"/>
        </w:rPr>
        <w:t>byl testován dvakrát s použitím vzorků moči bez drog a obohacených vzorků moči. Výsledky ukazují, že různé rozsahy specifické hmotnosti moči nemají vliv na výsledky testu.</w:t>
      </w:r>
    </w:p>
    <w:p w:rsidR="00EE7251" w:rsidRDefault="007270C2">
      <w:pPr>
        <w:pStyle w:val="Heading8"/>
        <w:spacing w:before="80" w:after="80" w:line="0" w:lineRule="atLeast"/>
        <w:rPr>
          <w:rFonts w:ascii="Times New Roman" w:hAnsi="Times New Roman"/>
          <w:sz w:val="12"/>
          <w:szCs w:val="12"/>
          <w:highlight w:val="black"/>
        </w:rPr>
      </w:pPr>
      <w:r>
        <w:rPr>
          <w:rFonts w:ascii="Times New Roman" w:hAnsi="Times New Roman"/>
          <w:sz w:val="12"/>
          <w:szCs w:val="12"/>
          <w:highlight w:val="black"/>
        </w:rPr>
        <w:t>Vliv pH moči</w:t>
      </w:r>
    </w:p>
    <w:p w:rsidR="00EE7251" w:rsidRDefault="007270C2">
      <w:pPr>
        <w:pStyle w:val="BodyText3"/>
        <w:spacing w:beforeLines="10" w:before="24" w:afterLines="10" w:after="24" w:line="0" w:lineRule="atLeast"/>
        <w:ind w:right="0"/>
        <w:rPr>
          <w:rFonts w:ascii="Times New Roman" w:hAnsi="Times New Roman"/>
          <w:color w:val="auto"/>
          <w:spacing w:val="0"/>
          <w:sz w:val="12"/>
          <w:szCs w:val="12"/>
          <w:lang w:eastAsia="zh-CN"/>
        </w:rPr>
      </w:pPr>
      <w:r>
        <w:rPr>
          <w:rFonts w:ascii="Times New Roman" w:hAnsi="Times New Roman"/>
          <w:color w:val="auto"/>
          <w:spacing w:val="0"/>
          <w:sz w:val="12"/>
          <w:szCs w:val="12"/>
        </w:rPr>
        <w:t xml:space="preserve">pH alikvotní části negativního močového vzorku se upraví v rozmezí 4,00 až 9,00 v krocích po 1 jednotce pH a obohatí se o cílovou drogu v množství o 50 % nižším a o 50 % vyšším než jsou mezní hodnoty. Obohacená moč s upraveným pH byla testována pomocí </w:t>
      </w:r>
      <w:r>
        <w:rPr>
          <w:rFonts w:ascii="Times New Roman" w:hAnsi="Times New Roman"/>
          <w:b/>
          <w:color w:val="auto"/>
          <w:sz w:val="12"/>
          <w:szCs w:val="12"/>
        </w:rPr>
        <w:t xml:space="preserve">testovacího proužku One Step Multi-Drug Screen Test Dip Card </w:t>
      </w:r>
      <w:r>
        <w:rPr>
          <w:rFonts w:ascii="Times New Roman" w:hAnsi="Times New Roman"/>
          <w:b/>
          <w:color w:val="auto"/>
          <w:sz w:val="12"/>
          <w:szCs w:val="12"/>
          <w:lang w:eastAsia="zh-CN"/>
        </w:rPr>
        <w:t>(moč)</w:t>
      </w:r>
      <w:r>
        <w:rPr>
          <w:rFonts w:ascii="Times New Roman" w:hAnsi="Times New Roman"/>
          <w:color w:val="auto"/>
          <w:spacing w:val="0"/>
          <w:sz w:val="12"/>
          <w:szCs w:val="12"/>
        </w:rPr>
        <w:t>. Výsledky ukazují, že různé rozsahy pH nemají vliv na výkonnost testu.</w:t>
      </w:r>
    </w:p>
    <w:p w:rsidR="00EE7251" w:rsidRDefault="007270C2">
      <w:pPr>
        <w:pStyle w:val="Heading8"/>
        <w:spacing w:before="80" w:after="80" w:line="0" w:lineRule="atLeast"/>
        <w:rPr>
          <w:rFonts w:ascii="Times New Roman" w:hAnsi="Times New Roman"/>
          <w:sz w:val="12"/>
          <w:szCs w:val="12"/>
          <w:highlight w:val="black"/>
        </w:rPr>
      </w:pPr>
      <w:r>
        <w:rPr>
          <w:rFonts w:ascii="Times New Roman" w:hAnsi="Times New Roman"/>
          <w:sz w:val="12"/>
          <w:szCs w:val="12"/>
          <w:highlight w:val="black"/>
        </w:rPr>
        <w:t>Interferenční sloučeniny</w:t>
      </w:r>
    </w:p>
    <w:p w:rsidR="00EE7251" w:rsidRDefault="007270C2">
      <w:pPr>
        <w:spacing w:beforeLines="10" w:before="24" w:afterLines="10" w:after="24" w:line="0" w:lineRule="atLeast"/>
        <w:rPr>
          <w:rFonts w:ascii="Times New Roman" w:hAnsi="Times New Roman"/>
          <w:color w:val="000000"/>
          <w:spacing w:val="-2"/>
          <w:sz w:val="12"/>
          <w:szCs w:val="12"/>
        </w:rPr>
      </w:pPr>
      <w:r>
        <w:rPr>
          <w:rFonts w:ascii="Times New Roman" w:hAnsi="Times New Roman"/>
          <w:color w:val="000000"/>
          <w:spacing w:val="-2"/>
          <w:sz w:val="12"/>
          <w:szCs w:val="12"/>
        </w:rPr>
        <w:t xml:space="preserve">Byla provedena studie s cílem určit látky, které mohou test rušit, a to buď v moči bez obsahu drog, nebo v moči obsahující </w:t>
      </w:r>
      <w:r>
        <w:rPr>
          <w:rFonts w:ascii="Times New Roman" w:hAnsi="Times New Roman"/>
          <w:sz w:val="12"/>
          <w:szCs w:val="12"/>
        </w:rPr>
        <w:t xml:space="preserve">acetaminofen, amfetamin, barbituráty, buprenorfin, benzodiazepiny, kokain, kotinin, klonazepam, extázi, ethylglukuronid, fentanyl, gabapentin, hydrokodonu, hydromorfonu, syntetického kanabinoidu K2, K3 (AB-Pinaca), ketaminu, kratomu, diethylamidu kyseliny lysergové, marihuany, EDDP, metadonu, metamfetaminu, metakvalonu, metkatinonu, methylendioxypyrovaleron, methylfenidát, 6-monoacetylmorfin, morfin, oxykodon, fencyklidin, pregabalin, propoxyfen, UR-144, karisoprodol, tramadol, tricyklická </w:t>
      </w:r>
      <w:r w:rsidRPr="0040799C">
        <w:rPr>
          <w:rFonts w:ascii="Times New Roman" w:hAnsi="Times New Roman"/>
          <w:sz w:val="12"/>
          <w:szCs w:val="12"/>
        </w:rPr>
        <w:t>antidepresiva</w:t>
      </w:r>
      <w:r w:rsidR="000B3FD9" w:rsidRPr="0040799C">
        <w:rPr>
          <w:rFonts w:ascii="Times New Roman" w:hAnsi="Times New Roman"/>
          <w:sz w:val="12"/>
          <w:szCs w:val="12"/>
        </w:rPr>
        <w:t xml:space="preserve">, zolpidem </w:t>
      </w:r>
      <w:r w:rsidRPr="0040799C">
        <w:rPr>
          <w:rFonts w:ascii="Times New Roman" w:hAnsi="Times New Roman"/>
          <w:color w:val="000000"/>
          <w:spacing w:val="-2"/>
          <w:sz w:val="12"/>
          <w:szCs w:val="12"/>
        </w:rPr>
        <w:t xml:space="preserve">pozitivní moč. Následující sloučeniny nevykazují žádnou křížovou reaktivitu při testování pomocí testovacího proužku </w:t>
      </w:r>
      <w:r w:rsidRPr="0040799C">
        <w:rPr>
          <w:rFonts w:ascii="Times New Roman" w:hAnsi="Times New Roman"/>
          <w:b/>
          <w:sz w:val="12"/>
          <w:szCs w:val="12"/>
        </w:rPr>
        <w:t xml:space="preserve">One Step </w:t>
      </w:r>
      <w:r>
        <w:rPr>
          <w:rFonts w:ascii="Times New Roman" w:hAnsi="Times New Roman"/>
          <w:b/>
          <w:sz w:val="12"/>
          <w:szCs w:val="12"/>
        </w:rPr>
        <w:t xml:space="preserve">Drugs of Abuse Test Dip Card (moč) </w:t>
      </w:r>
      <w:r>
        <w:rPr>
          <w:rFonts w:ascii="Times New Roman" w:hAnsi="Times New Roman"/>
          <w:color w:val="000000"/>
          <w:spacing w:val="-2"/>
          <w:sz w:val="12"/>
          <w:szCs w:val="12"/>
        </w:rPr>
        <w:t>v koncentraci 100</w:t>
      </w:r>
      <w:r>
        <w:rPr>
          <w:rFonts w:ascii="Symbol" w:hAnsi="Symbol"/>
          <w:color w:val="000000"/>
          <w:spacing w:val="-2"/>
          <w:sz w:val="12"/>
          <w:szCs w:val="12"/>
        </w:rPr>
        <w:sym w:font="Symbol" w:char="F06D"/>
      </w:r>
      <w:r>
        <w:rPr>
          <w:rFonts w:ascii="Times New Roman" w:hAnsi="Times New Roman"/>
          <w:color w:val="000000"/>
          <w:spacing w:val="-2"/>
          <w:sz w:val="12"/>
          <w:szCs w:val="12"/>
        </w:rPr>
        <w:t xml:space="preserve"> g/ml.</w:t>
      </w:r>
    </w:p>
    <w:p w:rsidR="00EE7251" w:rsidRDefault="007270C2">
      <w:pPr>
        <w:pStyle w:val="Heading8"/>
        <w:spacing w:before="80" w:after="80" w:line="0" w:lineRule="atLeast"/>
        <w:rPr>
          <w:rFonts w:ascii="Times New Roman" w:hAnsi="Times New Roman"/>
          <w:sz w:val="12"/>
          <w:szCs w:val="12"/>
          <w:highlight w:val="black"/>
        </w:rPr>
      </w:pPr>
      <w:r>
        <w:rPr>
          <w:rFonts w:ascii="Times New Roman" w:hAnsi="Times New Roman"/>
          <w:sz w:val="12"/>
          <w:szCs w:val="12"/>
          <w:highlight w:val="black"/>
        </w:rPr>
        <w:t>Tabulky sloučenin, které neovlivňují výsledky</w:t>
      </w:r>
    </w:p>
    <w:tbl>
      <w:tblPr>
        <w:tblW w:w="0" w:type="auto"/>
        <w:jc w:val="center"/>
        <w:tblLayout w:type="fixed"/>
        <w:tblCellMar>
          <w:left w:w="0" w:type="dxa"/>
          <w:right w:w="0" w:type="dxa"/>
        </w:tblCellMar>
        <w:tblLook w:val="0000" w:firstRow="0" w:lastRow="0" w:firstColumn="0" w:lastColumn="0" w:noHBand="0" w:noVBand="0"/>
      </w:tblPr>
      <w:tblGrid>
        <w:gridCol w:w="1194"/>
        <w:gridCol w:w="1195"/>
        <w:gridCol w:w="1001"/>
        <w:gridCol w:w="1390"/>
      </w:tblGrid>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Acetofenetidin</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Kortizon</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Pseudoefedrin</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Chinidin</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N-acetylprokainamid</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Kreatinin</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sz w:val="11"/>
                <w:szCs w:val="11"/>
              </w:rPr>
              <w:t>Kynurenová kyselina</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Chinin</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Kyselina acetylsalicylová</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sz w:val="11"/>
                <w:szCs w:val="11"/>
              </w:rPr>
              <w:t>Dexamethason</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Labetalol</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Kyselina salicylová</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Amilorid</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Dextrometorfan</w:t>
            </w:r>
          </w:p>
        </w:tc>
        <w:tc>
          <w:tcPr>
            <w:tcW w:w="1001" w:type="dxa"/>
            <w:vAlign w:val="center"/>
          </w:tcPr>
          <w:p w:rsidR="00EE7251" w:rsidRDefault="007270C2">
            <w:pPr>
              <w:spacing w:beforeLines="10" w:before="24" w:afterLines="10" w:after="24" w:line="0" w:lineRule="atLeast"/>
              <w:rPr>
                <w:rFonts w:ascii="Times New Roman" w:hAnsi="Times New Roman"/>
                <w:color w:val="000000"/>
                <w:spacing w:val="-8"/>
                <w:sz w:val="11"/>
                <w:szCs w:val="11"/>
              </w:rPr>
            </w:pPr>
            <w:r>
              <w:rPr>
                <w:rFonts w:ascii="Times New Roman" w:hAnsi="Times New Roman"/>
                <w:color w:val="000000"/>
                <w:sz w:val="11"/>
                <w:szCs w:val="11"/>
              </w:rPr>
              <w:t>Loperamid</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Serotonin</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Amoxicilin</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sz w:val="11"/>
                <w:szCs w:val="11"/>
              </w:rPr>
              <w:t>Desipramin</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Meprobamat</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Sulfamethazin</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Ampicilin</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Diflunisal</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Methoxyfenamin</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Sulindak</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Kyselina L-askorbová</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Digoxin</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Methylfenidát</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Tetracyklin</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Apomorfín</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sz w:val="11"/>
                <w:szCs w:val="11"/>
              </w:rPr>
              <w:t>Droperidol</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Kyselina nalidixová</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sz w:val="11"/>
                <w:szCs w:val="11"/>
              </w:rPr>
              <w:t>Tetrahydrokortizon, 3-acetát</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sz w:val="11"/>
                <w:szCs w:val="11"/>
              </w:rPr>
              <w:t>Aspartam</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Etyl-p-aminobenzoát</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Naproxen</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sz w:val="11"/>
                <w:szCs w:val="11"/>
              </w:rPr>
              <w:t>Teobromin</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Atropin</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sz w:val="11"/>
                <w:szCs w:val="11"/>
              </w:rPr>
              <w:t>Ethopropazin</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Niacinamid</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sz w:val="11"/>
                <w:szCs w:val="11"/>
              </w:rPr>
              <w:t>Tolazamid</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Kyselina benzylová</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Estron-3-sulfát</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Nifedipin</w:t>
            </w:r>
          </w:p>
        </w:tc>
        <w:tc>
          <w:tcPr>
            <w:tcW w:w="1390" w:type="dxa"/>
            <w:vAlign w:val="center"/>
          </w:tcPr>
          <w:p w:rsidR="00EE7251" w:rsidRDefault="007270C2">
            <w:pPr>
              <w:spacing w:beforeLines="10" w:before="24" w:afterLines="10" w:after="24" w:line="0" w:lineRule="atLeast"/>
              <w:ind w:left="55" w:hangingChars="50" w:hanging="55"/>
              <w:rPr>
                <w:rFonts w:ascii="Times New Roman" w:hAnsi="Times New Roman"/>
                <w:color w:val="000000"/>
                <w:sz w:val="11"/>
                <w:szCs w:val="11"/>
              </w:rPr>
            </w:pPr>
            <w:r>
              <w:rPr>
                <w:rFonts w:ascii="Times New Roman" w:hAnsi="Times New Roman"/>
                <w:color w:val="000000"/>
                <w:sz w:val="11"/>
                <w:szCs w:val="11"/>
              </w:rPr>
              <w:t>Tetrahydrozolin</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sz w:val="11"/>
                <w:szCs w:val="11"/>
              </w:rPr>
              <w:t>kyselina p-aminobenzoová</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Erytromycin</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Norethindron</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Thiamin</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Bilirubin</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Fenoprofen</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Noscapin</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sz w:val="11"/>
                <w:szCs w:val="11"/>
              </w:rPr>
              <w:t>Hydrochlorid</w:t>
            </w:r>
            <w:r>
              <w:rPr>
                <w:rFonts w:ascii="Times New Roman" w:hAnsi="Times New Roman"/>
                <w:color w:val="000000"/>
                <w:sz w:val="11"/>
                <w:szCs w:val="11"/>
              </w:rPr>
              <w:t xml:space="preserve"> thioridazinu</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sz w:val="11"/>
                <w:szCs w:val="11"/>
              </w:rPr>
              <w:t>Beclometazon</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Furosemid</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Octopamin</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D/L-tyrosin</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Kofein</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Kyselina gentisová</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Kyselina šťavelová</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Tolbutamid</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Kanabidiol</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Hemoglobin</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sz w:val="11"/>
                <w:szCs w:val="11"/>
              </w:rPr>
              <w:t>Oxyphenbutazon</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Triamteren</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sz w:val="11"/>
                <w:szCs w:val="11"/>
              </w:rPr>
              <w:t>Karbamazepin</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Hydralazin</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Oxymetazolin</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Trifluoperazin</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Chloramfenikol</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Hydrochlorothiazid</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Papaverin</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Trimetoprim</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Chlorothiazid</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Hydrokortizon</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sz w:val="11"/>
                <w:szCs w:val="11"/>
              </w:rPr>
              <w:t>Paclitaxel</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D,L-tryptofan</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Chlorfeniramin</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Kyselina α-hydroxyhipurová</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Perfenazin</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Kyselina močová</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Chlorpromazin</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sz w:val="11"/>
                <w:szCs w:val="11"/>
              </w:rPr>
              <w:t>Hydroxyprogesteron</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Fenelzin</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Verapamil</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Cholesterol</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sz w:val="11"/>
                <w:szCs w:val="11"/>
              </w:rPr>
              <w:t>Isoproterenol-(+/-)</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Prednison</w:t>
            </w:r>
          </w:p>
        </w:tc>
        <w:tc>
          <w:tcPr>
            <w:tcW w:w="1390"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Zomepirak</w:t>
            </w:r>
          </w:p>
        </w:tc>
      </w:tr>
      <w:tr w:rsidR="00872005">
        <w:trPr>
          <w:cantSplit/>
          <w:trHeight w:val="170"/>
          <w:jc w:val="center"/>
        </w:trPr>
        <w:tc>
          <w:tcPr>
            <w:tcW w:w="1194"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Klonidin</w:t>
            </w:r>
          </w:p>
        </w:tc>
        <w:tc>
          <w:tcPr>
            <w:tcW w:w="1195"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Isoxsuprin</w:t>
            </w:r>
          </w:p>
        </w:tc>
        <w:tc>
          <w:tcPr>
            <w:tcW w:w="1001" w:type="dxa"/>
            <w:vAlign w:val="center"/>
          </w:tcPr>
          <w:p w:rsidR="00EE7251" w:rsidRDefault="007270C2">
            <w:pPr>
              <w:spacing w:beforeLines="10" w:before="24" w:afterLines="10" w:after="24" w:line="0" w:lineRule="atLeast"/>
              <w:rPr>
                <w:rFonts w:ascii="Times New Roman" w:hAnsi="Times New Roman"/>
                <w:color w:val="000000"/>
                <w:sz w:val="11"/>
                <w:szCs w:val="11"/>
              </w:rPr>
            </w:pPr>
            <w:r>
              <w:rPr>
                <w:rFonts w:ascii="Times New Roman" w:hAnsi="Times New Roman"/>
                <w:color w:val="000000"/>
                <w:sz w:val="11"/>
                <w:szCs w:val="11"/>
              </w:rPr>
              <w:t>Prilokain</w:t>
            </w:r>
          </w:p>
        </w:tc>
        <w:tc>
          <w:tcPr>
            <w:tcW w:w="1390" w:type="dxa"/>
            <w:vAlign w:val="center"/>
          </w:tcPr>
          <w:p w:rsidR="00EE7251" w:rsidRDefault="00EE7251">
            <w:pPr>
              <w:spacing w:beforeLines="10" w:before="24" w:afterLines="10" w:after="24" w:line="0" w:lineRule="atLeast"/>
              <w:rPr>
                <w:rFonts w:ascii="Times New Roman" w:hAnsi="Times New Roman"/>
                <w:color w:val="000000"/>
                <w:sz w:val="11"/>
                <w:szCs w:val="11"/>
              </w:rPr>
            </w:pPr>
          </w:p>
        </w:tc>
      </w:tr>
    </w:tbl>
    <w:p w:rsidR="00EE7251" w:rsidRDefault="007270C2">
      <w:pPr>
        <w:pStyle w:val="Heading2"/>
        <w:shd w:val="clear" w:color="auto" w:fill="000000"/>
        <w:spacing w:before="80" w:after="80" w:line="0" w:lineRule="atLeast"/>
        <w:jc w:val="center"/>
        <w:rPr>
          <w:rFonts w:ascii="Times New Roman" w:hAnsi="Times New Roman"/>
          <w:sz w:val="12"/>
          <w:szCs w:val="12"/>
        </w:rPr>
      </w:pPr>
      <w:r>
        <w:rPr>
          <w:rFonts w:ascii="Times New Roman" w:hAnsi="Times New Roman"/>
          <w:sz w:val="12"/>
          <w:szCs w:val="12"/>
        </w:rPr>
        <w:t>BIBLIOGRAFIE</w:t>
      </w:r>
    </w:p>
    <w:p w:rsidR="00EE7251" w:rsidRDefault="007270C2">
      <w:pPr>
        <w:spacing w:line="0" w:lineRule="atLeast"/>
        <w:ind w:left="120" w:hangingChars="100" w:hanging="120"/>
        <w:rPr>
          <w:rFonts w:ascii="Times New Roman" w:hAnsi="Times New Roman"/>
          <w:kern w:val="0"/>
          <w:sz w:val="12"/>
          <w:szCs w:val="12"/>
        </w:rPr>
      </w:pPr>
      <w:r>
        <w:rPr>
          <w:rFonts w:ascii="Times New Roman" w:hAnsi="Times New Roman"/>
          <w:kern w:val="0"/>
          <w:sz w:val="12"/>
          <w:szCs w:val="12"/>
        </w:rPr>
        <w:t>1. Stewart DJ, Inaba T, Lucassen M, Kalow W. Clin. Pharmacol. Ther. Duben 1979; 25. vydání: 464, 264-8.</w:t>
      </w:r>
    </w:p>
    <w:p w:rsidR="00EE7251" w:rsidRDefault="007270C2">
      <w:pPr>
        <w:spacing w:line="0" w:lineRule="atLeast"/>
        <w:rPr>
          <w:rFonts w:ascii="Times New Roman" w:hAnsi="Times New Roman"/>
          <w:kern w:val="0"/>
          <w:sz w:val="12"/>
          <w:szCs w:val="12"/>
        </w:rPr>
      </w:pPr>
      <w:r>
        <w:rPr>
          <w:rFonts w:ascii="Times New Roman" w:hAnsi="Times New Roman"/>
          <w:kern w:val="0"/>
          <w:sz w:val="12"/>
          <w:szCs w:val="12"/>
        </w:rPr>
        <w:t>2. Ambre J. J. Anal. Toxicol. 1985; 9:241.</w:t>
      </w:r>
    </w:p>
    <w:p w:rsidR="00EE7251" w:rsidRDefault="007270C2">
      <w:pPr>
        <w:spacing w:line="0" w:lineRule="atLeast"/>
        <w:ind w:left="120" w:hangingChars="100" w:hanging="120"/>
        <w:rPr>
          <w:rFonts w:ascii="Times New Roman" w:hAnsi="Times New Roman"/>
          <w:kern w:val="0"/>
          <w:sz w:val="12"/>
          <w:szCs w:val="12"/>
        </w:rPr>
      </w:pPr>
      <w:r>
        <w:rPr>
          <w:rFonts w:ascii="Times New Roman" w:hAnsi="Times New Roman"/>
          <w:kern w:val="0"/>
          <w:sz w:val="12"/>
          <w:szCs w:val="12"/>
        </w:rPr>
        <w:t>3. Hawks RL, CN Chiang. Urine Testing for Drugs of Abuse. National Institute for Drug Abuse (NIDA), Research Monograph 73, 1986.</w:t>
      </w:r>
    </w:p>
    <w:p w:rsidR="00EE7251" w:rsidRDefault="007270C2">
      <w:pPr>
        <w:spacing w:line="0" w:lineRule="atLeast"/>
        <w:rPr>
          <w:rFonts w:ascii="Times New Roman" w:hAnsi="Times New Roman"/>
          <w:kern w:val="0"/>
          <w:sz w:val="12"/>
          <w:szCs w:val="12"/>
        </w:rPr>
      </w:pPr>
      <w:r>
        <w:rPr>
          <w:rFonts w:ascii="Times New Roman" w:hAnsi="Times New Roman"/>
          <w:kern w:val="0"/>
          <w:sz w:val="12"/>
          <w:szCs w:val="12"/>
        </w:rPr>
        <w:t>4. Tietz NW. Učebnice klinické chemie. W.B. Saunders Company. 1986; 1735.</w:t>
      </w:r>
    </w:p>
    <w:p w:rsidR="00EE7251" w:rsidRDefault="007270C2">
      <w:pPr>
        <w:spacing w:line="0" w:lineRule="atLeast"/>
        <w:ind w:left="120" w:hangingChars="100" w:hanging="120"/>
        <w:rPr>
          <w:rFonts w:ascii="Times New Roman" w:hAnsi="Times New Roman"/>
          <w:kern w:val="0"/>
          <w:sz w:val="12"/>
          <w:szCs w:val="12"/>
        </w:rPr>
      </w:pPr>
      <w:r>
        <w:rPr>
          <w:rFonts w:ascii="Times New Roman" w:hAnsi="Times New Roman"/>
          <w:kern w:val="0"/>
          <w:sz w:val="12"/>
          <w:szCs w:val="12"/>
        </w:rPr>
        <w:t>5. Pokyny FDA: Pokyny pro předložení žádosti o uvedení na trh u souprav pro screening zneužívání drog určených pro spotřebitele, 1997.</w:t>
      </w:r>
    </w:p>
    <w:p w:rsidR="00EE7251" w:rsidRDefault="007270C2">
      <w:pPr>
        <w:spacing w:line="0" w:lineRule="atLeast"/>
        <w:rPr>
          <w:rFonts w:ascii="Times New Roman" w:hAnsi="Times New Roman"/>
          <w:kern w:val="0"/>
          <w:sz w:val="12"/>
          <w:szCs w:val="12"/>
        </w:rPr>
      </w:pPr>
      <w:r>
        <w:rPr>
          <w:rFonts w:ascii="Times New Roman" w:hAnsi="Times New Roman"/>
          <w:kern w:val="0"/>
          <w:sz w:val="12"/>
          <w:szCs w:val="12"/>
        </w:rPr>
        <w:t>6. Robert DeCresce. Testování na drogy na pracovišti, 114.</w:t>
      </w:r>
    </w:p>
    <w:p w:rsidR="00EE7251" w:rsidRDefault="007270C2">
      <w:pPr>
        <w:spacing w:line="0" w:lineRule="atLeast"/>
        <w:ind w:left="120" w:hangingChars="100" w:hanging="120"/>
        <w:rPr>
          <w:rFonts w:ascii="Times New Roman" w:hAnsi="Times New Roman"/>
          <w:kern w:val="0"/>
          <w:sz w:val="12"/>
          <w:szCs w:val="12"/>
        </w:rPr>
      </w:pPr>
      <w:r>
        <w:rPr>
          <w:rFonts w:ascii="Times New Roman" w:hAnsi="Times New Roman"/>
          <w:kern w:val="0"/>
          <w:sz w:val="12"/>
          <w:szCs w:val="12"/>
        </w:rPr>
        <w:t>7. Baselt RC. Disposition of Toxic Drugs and Chemicals in Man. 2. vyd. Biomedical Publ., Davis, CA 1982; 487.</w:t>
      </w:r>
    </w:p>
    <w:p w:rsidR="00EE7251" w:rsidRDefault="007270C2">
      <w:pPr>
        <w:pStyle w:val="Heading2"/>
        <w:shd w:val="clear" w:color="auto" w:fill="000000"/>
        <w:spacing w:before="80" w:after="80" w:line="0" w:lineRule="atLeast"/>
        <w:jc w:val="center"/>
        <w:rPr>
          <w:rFonts w:ascii="Times New Roman" w:hAnsi="Times New Roman"/>
          <w:sz w:val="12"/>
          <w:szCs w:val="12"/>
          <w:lang w:eastAsia="zh-CN"/>
        </w:rPr>
      </w:pPr>
      <w:r>
        <w:rPr>
          <w:rFonts w:ascii="Times New Roman" w:hAnsi="Times New Roman"/>
          <w:sz w:val="12"/>
          <w:szCs w:val="12"/>
        </w:rPr>
        <w:t>SEZNAM SYMBOLŮ</w:t>
      </w:r>
    </w:p>
    <w:p w:rsidR="00EE7251" w:rsidRDefault="009706B0">
      <w:pPr>
        <w:autoSpaceDE w:val="0"/>
        <w:autoSpaceDN w:val="0"/>
        <w:adjustRightInd w:val="0"/>
        <w:spacing w:line="0" w:lineRule="atLeast"/>
        <w:rPr>
          <w:rFonts w:ascii="Times New Roman" w:hAnsi="Times New Roman"/>
          <w:sz w:val="12"/>
          <w:szCs w:val="12"/>
        </w:rPr>
      </w:pPr>
      <w:r>
        <w:rPr>
          <w:noProof/>
        </w:rPr>
        <w:pict>
          <v:shape id="图片 4" o:spid="_x0000_i1027" type="#_x0000_t75" style="width:243pt;height:73.5pt;visibility:visible">
            <v:imagedata r:id="rId23" o:title=""/>
          </v:shape>
        </w:pict>
      </w:r>
    </w:p>
    <w:p w:rsidR="00EE7251" w:rsidRDefault="00EE7251">
      <w:pPr>
        <w:autoSpaceDE w:val="0"/>
        <w:autoSpaceDN w:val="0"/>
        <w:adjustRightInd w:val="0"/>
        <w:spacing w:line="0" w:lineRule="atLeast"/>
        <w:rPr>
          <w:rFonts w:ascii="Times New Roman" w:hAnsi="Times New Roman"/>
          <w:sz w:val="12"/>
          <w:szCs w:val="12"/>
        </w:rPr>
      </w:pPr>
    </w:p>
    <w:p w:rsidR="00EE7251" w:rsidRDefault="00EE7251">
      <w:pPr>
        <w:autoSpaceDE w:val="0"/>
        <w:autoSpaceDN w:val="0"/>
        <w:adjustRightInd w:val="0"/>
        <w:spacing w:line="0" w:lineRule="atLeast"/>
        <w:rPr>
          <w:rFonts w:ascii="Times New Roman" w:hAnsi="Times New Roman"/>
          <w:sz w:val="12"/>
          <w:szCs w:val="12"/>
        </w:rPr>
      </w:pPr>
    </w:p>
    <w:p w:rsidR="0091013A" w:rsidRPr="00C41020" w:rsidRDefault="0091013A" w:rsidP="0091013A">
      <w:pPr>
        <w:jc w:val="left"/>
        <w:rPr>
          <w:sz w:val="18"/>
          <w:szCs w:val="16"/>
        </w:rPr>
      </w:pPr>
      <w:r>
        <w:rPr>
          <w:noProof/>
        </w:rPr>
        <w:t xml:space="preserve">Dovozce: </w:t>
      </w:r>
      <w:r>
        <w:rPr>
          <w:noProof/>
        </w:rPr>
        <w:br/>
      </w:r>
      <w:r w:rsidRPr="00695F33">
        <w:rPr>
          <w:rFonts w:ascii="Times New Roman" w:hAnsi="Times New Roman"/>
          <w:color w:val="000000"/>
          <w:sz w:val="20"/>
          <w:szCs w:val="20"/>
          <w:shd w:val="clear" w:color="auto" w:fill="FFFFFF"/>
        </w:rPr>
        <w:t>Společnost Po ruce medimedi.cz s.r.o.</w:t>
      </w:r>
      <w:r w:rsidRPr="00695F33">
        <w:rPr>
          <w:rFonts w:ascii="Times New Roman" w:hAnsi="Times New Roman"/>
          <w:color w:val="000000"/>
          <w:sz w:val="20"/>
          <w:szCs w:val="20"/>
          <w:shd w:val="clear" w:color="auto" w:fill="FFFFFF"/>
        </w:rPr>
        <w:br/>
        <w:t>Hilleho 1842/5, Černá Pole (Brno-střed), 602 00 Brno</w:t>
      </w:r>
      <w:r w:rsidRPr="00695F33">
        <w:rPr>
          <w:rFonts w:ascii="Times New Roman" w:hAnsi="Times New Roman"/>
          <w:color w:val="000000"/>
          <w:sz w:val="20"/>
          <w:szCs w:val="20"/>
          <w:shd w:val="clear" w:color="auto" w:fill="FFFFFF"/>
        </w:rPr>
        <w:br/>
        <w:t>IČ: 19431244</w:t>
      </w:r>
      <w:r>
        <w:rPr>
          <w:rFonts w:ascii="Arial" w:hAnsi="Arial" w:cs="Arial"/>
          <w:color w:val="000000"/>
          <w:sz w:val="23"/>
          <w:szCs w:val="23"/>
          <w:shd w:val="clear" w:color="auto" w:fill="FFFFFF"/>
        </w:rPr>
        <w:t> </w:t>
      </w:r>
    </w:p>
    <w:p w:rsidR="00EE7251" w:rsidRDefault="00EE7251">
      <w:pPr>
        <w:autoSpaceDE w:val="0"/>
        <w:autoSpaceDN w:val="0"/>
        <w:adjustRightInd w:val="0"/>
        <w:spacing w:line="0" w:lineRule="atLeast"/>
        <w:rPr>
          <w:rFonts w:ascii="Times New Roman" w:hAnsi="Times New Roman"/>
          <w:sz w:val="12"/>
          <w:szCs w:val="12"/>
        </w:rPr>
      </w:pPr>
    </w:p>
    <w:p w:rsidR="00EE7251" w:rsidRDefault="00EE7251">
      <w:pPr>
        <w:autoSpaceDE w:val="0"/>
        <w:autoSpaceDN w:val="0"/>
        <w:adjustRightInd w:val="0"/>
        <w:spacing w:line="0" w:lineRule="atLeast"/>
        <w:rPr>
          <w:rFonts w:ascii="Times New Roman" w:hAnsi="Times New Roman"/>
          <w:sz w:val="12"/>
          <w:szCs w:val="12"/>
        </w:rPr>
      </w:pPr>
    </w:p>
    <w:p w:rsidR="00EE7251" w:rsidRDefault="00EE7251">
      <w:pPr>
        <w:autoSpaceDE w:val="0"/>
        <w:autoSpaceDN w:val="0"/>
        <w:adjustRightInd w:val="0"/>
        <w:spacing w:line="0" w:lineRule="atLeast"/>
        <w:jc w:val="right"/>
        <w:rPr>
          <w:rFonts w:ascii="Times New Roman" w:hAnsi="Times New Roman"/>
          <w:sz w:val="12"/>
          <w:szCs w:val="12"/>
        </w:rPr>
      </w:pPr>
    </w:p>
    <w:tbl>
      <w:tblPr>
        <w:tblpPr w:leftFromText="180" w:rightFromText="180" w:vertAnchor="text" w:horzAnchor="page" w:tblpX="726" w:tblpY="128"/>
        <w:tblW w:w="4932" w:type="dxa"/>
        <w:tblLayout w:type="fixed"/>
        <w:tblCellMar>
          <w:top w:w="57" w:type="dxa"/>
          <w:left w:w="57" w:type="dxa"/>
          <w:bottom w:w="57" w:type="dxa"/>
          <w:right w:w="0" w:type="dxa"/>
        </w:tblCellMar>
        <w:tblLook w:val="0000" w:firstRow="0" w:lastRow="0" w:firstColumn="0" w:lastColumn="0" w:noHBand="0" w:noVBand="0"/>
      </w:tblPr>
      <w:tblGrid>
        <w:gridCol w:w="713"/>
        <w:gridCol w:w="4219"/>
      </w:tblGrid>
      <w:tr w:rsidR="00872005">
        <w:tc>
          <w:tcPr>
            <w:tcW w:w="713" w:type="dxa"/>
          </w:tcPr>
          <w:p w:rsidR="00EE7251" w:rsidRPr="0040799C" w:rsidRDefault="003F5492">
            <w:pPr>
              <w:wordWrap w:val="0"/>
              <w:spacing w:line="0" w:lineRule="atLeast"/>
              <w:rPr>
                <w:rFonts w:ascii="Times New Roman" w:hAnsi="Times New Roman"/>
                <w:sz w:val="12"/>
                <w:szCs w:val="12"/>
              </w:rPr>
            </w:pPr>
            <w:r>
              <w:rPr>
                <w:rFonts w:ascii="Times New Roman" w:hAnsi="Times New Roman"/>
                <w:sz w:val="12"/>
                <w:szCs w:val="12"/>
              </w:rPr>
              <w:pict>
                <v:shape id="图片 6" o:spid="_x0000_i1028" type="#_x0000_t75" alt="lQLPDhrbcaO3_uV6zIOwpiM7AdHE-tEBlMeZnsANAA_131_122" style="width:23.25pt;height:21.75pt">
                  <v:imagedata r:id="rId24" o:title="lQLPDhrbcaO3_uV6zIOwpiM7AdHE-tEBlMeZnsANAA_131_122"/>
                </v:shape>
              </w:pict>
            </w:r>
          </w:p>
        </w:tc>
        <w:tc>
          <w:tcPr>
            <w:tcW w:w="4219" w:type="dxa"/>
          </w:tcPr>
          <w:p w:rsidR="00EE7251" w:rsidRPr="0040799C" w:rsidRDefault="007270C2">
            <w:pPr>
              <w:wordWrap w:val="0"/>
              <w:spacing w:line="0" w:lineRule="atLeast"/>
              <w:rPr>
                <w:rFonts w:ascii="Times New Roman" w:eastAsia="Microsoft YaHei" w:hAnsi="Times New Roman"/>
                <w:color w:val="171A1D"/>
                <w:sz w:val="12"/>
                <w:szCs w:val="12"/>
                <w:shd w:val="clear" w:color="auto" w:fill="FFFFFF"/>
              </w:rPr>
            </w:pPr>
            <w:r w:rsidRPr="0040799C">
              <w:rPr>
                <w:rFonts w:ascii="Times New Roman" w:eastAsia="Microsoft YaHei" w:hAnsi="Times New Roman"/>
                <w:color w:val="171A1D"/>
                <w:sz w:val="12"/>
                <w:szCs w:val="12"/>
                <w:shd w:val="clear" w:color="auto" w:fill="FFFFFF"/>
              </w:rPr>
              <w:t>Healgen Scientific Limited Liability Company</w:t>
            </w:r>
          </w:p>
          <w:p w:rsidR="00EE7251" w:rsidRPr="0040799C" w:rsidRDefault="007270C2">
            <w:pPr>
              <w:wordWrap w:val="0"/>
              <w:spacing w:line="0" w:lineRule="atLeast"/>
              <w:rPr>
                <w:rFonts w:ascii="Times New Roman" w:eastAsia="Microsoft YaHei" w:hAnsi="Times New Roman"/>
                <w:color w:val="171A1D"/>
                <w:sz w:val="12"/>
                <w:szCs w:val="12"/>
                <w:shd w:val="clear" w:color="auto" w:fill="FFFFFF"/>
              </w:rPr>
            </w:pPr>
            <w:r w:rsidRPr="0040799C">
              <w:rPr>
                <w:rFonts w:ascii="Times New Roman" w:eastAsia="Microsoft YaHei" w:hAnsi="Times New Roman"/>
                <w:color w:val="171A1D"/>
                <w:sz w:val="12"/>
                <w:szCs w:val="12"/>
                <w:shd w:val="clear" w:color="auto" w:fill="FFFFFF"/>
              </w:rPr>
              <w:t xml:space="preserve">Adresa: 3818 Fuqua Street, Houston, TX 77047, USA. </w:t>
            </w:r>
          </w:p>
          <w:p w:rsidR="00EE7251" w:rsidRPr="0040799C" w:rsidRDefault="007270C2">
            <w:pPr>
              <w:wordWrap w:val="0"/>
              <w:spacing w:line="0" w:lineRule="atLeast"/>
              <w:rPr>
                <w:rFonts w:ascii="Times New Roman" w:eastAsia="Microsoft YaHei" w:hAnsi="Times New Roman"/>
                <w:color w:val="171A1D"/>
                <w:sz w:val="12"/>
                <w:szCs w:val="12"/>
                <w:shd w:val="clear" w:color="auto" w:fill="FFFFFF"/>
              </w:rPr>
            </w:pPr>
            <w:r w:rsidRPr="0040799C">
              <w:rPr>
                <w:rFonts w:ascii="Times New Roman" w:eastAsia="Microsoft YaHei" w:hAnsi="Times New Roman"/>
                <w:color w:val="171A1D"/>
                <w:sz w:val="12"/>
                <w:szCs w:val="12"/>
                <w:shd w:val="clear" w:color="auto" w:fill="FFFFFF"/>
              </w:rPr>
              <w:t xml:space="preserve">Tel.: +1 713-733-8088 </w:t>
            </w:r>
          </w:p>
          <w:p w:rsidR="00EE7251" w:rsidRPr="0040799C" w:rsidRDefault="007270C2">
            <w:pPr>
              <w:wordWrap w:val="0"/>
              <w:spacing w:line="0" w:lineRule="atLeast"/>
              <w:rPr>
                <w:rFonts w:ascii="Times New Roman" w:eastAsia="Microsoft YaHei" w:hAnsi="Times New Roman"/>
                <w:color w:val="171A1D"/>
                <w:sz w:val="12"/>
                <w:szCs w:val="12"/>
                <w:shd w:val="clear" w:color="auto" w:fill="FFFFFF"/>
              </w:rPr>
            </w:pPr>
            <w:r w:rsidRPr="0040799C">
              <w:rPr>
                <w:rFonts w:ascii="Times New Roman" w:eastAsia="Microsoft YaHei" w:hAnsi="Times New Roman"/>
                <w:color w:val="171A1D"/>
                <w:sz w:val="12"/>
                <w:szCs w:val="12"/>
                <w:shd w:val="clear" w:color="auto" w:fill="FFFFFF"/>
              </w:rPr>
              <w:t>Fax: +1 713-733-8848</w:t>
            </w:r>
          </w:p>
          <w:p w:rsidR="00EE7251" w:rsidRPr="0040799C" w:rsidRDefault="007270C2">
            <w:pPr>
              <w:wordWrap w:val="0"/>
              <w:spacing w:line="0" w:lineRule="atLeast"/>
              <w:rPr>
                <w:rFonts w:ascii="Times New Roman" w:hAnsi="Times New Roman"/>
                <w:sz w:val="12"/>
                <w:szCs w:val="12"/>
              </w:rPr>
            </w:pPr>
            <w:r w:rsidRPr="0040799C">
              <w:rPr>
                <w:rFonts w:ascii="Times New Roman" w:eastAsia="Microsoft YaHei" w:hAnsi="Times New Roman"/>
                <w:color w:val="171A1D"/>
                <w:sz w:val="12"/>
                <w:szCs w:val="12"/>
                <w:shd w:val="clear" w:color="auto" w:fill="FFFFFF"/>
              </w:rPr>
              <w:t>Webové stránky: www.healgen.com</w:t>
            </w:r>
          </w:p>
        </w:tc>
      </w:tr>
      <w:tr w:rsidR="00872005">
        <w:tc>
          <w:tcPr>
            <w:tcW w:w="713" w:type="dxa"/>
          </w:tcPr>
          <w:p w:rsidR="00EE7251" w:rsidRPr="0040799C" w:rsidRDefault="003F5492">
            <w:pPr>
              <w:spacing w:line="0" w:lineRule="atLeast"/>
              <w:rPr>
                <w:rFonts w:ascii="Times New Roman" w:hAnsi="Times New Roman"/>
                <w:sz w:val="12"/>
                <w:szCs w:val="12"/>
              </w:rPr>
            </w:pPr>
            <w:r>
              <w:rPr>
                <w:noProof/>
              </w:rPr>
              <w:pict>
                <v:shape id="图片 7" o:spid="_x0000_i1029" type="#_x0000_t75" style="width:33pt;height:13.5pt;visibility:visible">
                  <v:imagedata r:id="rId25" o:title=""/>
                </v:shape>
              </w:pict>
            </w:r>
          </w:p>
        </w:tc>
        <w:tc>
          <w:tcPr>
            <w:tcW w:w="4219" w:type="dxa"/>
          </w:tcPr>
          <w:p w:rsidR="00084EE9" w:rsidRPr="0040799C" w:rsidRDefault="007270C2" w:rsidP="00084EE9">
            <w:pPr>
              <w:wordWrap w:val="0"/>
              <w:spacing w:line="0" w:lineRule="atLeast"/>
              <w:rPr>
                <w:rFonts w:ascii="Times New Roman" w:hAnsi="Times New Roman"/>
                <w:sz w:val="12"/>
                <w:szCs w:val="12"/>
              </w:rPr>
            </w:pPr>
            <w:r w:rsidRPr="0040799C">
              <w:rPr>
                <w:rFonts w:ascii="Times New Roman" w:hAnsi="Times New Roman"/>
                <w:sz w:val="12"/>
                <w:szCs w:val="12"/>
              </w:rPr>
              <w:t>CMC Medical Devices &amp; Drugs S.L.</w:t>
            </w:r>
          </w:p>
          <w:p w:rsidR="00084EE9" w:rsidRPr="0040799C" w:rsidRDefault="007270C2" w:rsidP="00084EE9">
            <w:pPr>
              <w:wordWrap w:val="0"/>
              <w:spacing w:line="0" w:lineRule="atLeast"/>
              <w:rPr>
                <w:rFonts w:ascii="Times New Roman" w:hAnsi="Times New Roman"/>
                <w:sz w:val="12"/>
                <w:szCs w:val="12"/>
              </w:rPr>
            </w:pPr>
            <w:r w:rsidRPr="0040799C">
              <w:rPr>
                <w:rFonts w:ascii="Times New Roman" w:hAnsi="Times New Roman"/>
                <w:sz w:val="12"/>
                <w:szCs w:val="12"/>
              </w:rPr>
              <w:t>C/Horacio Lengo č. 18, CP29006, Málaga, Španělsko</w:t>
            </w:r>
          </w:p>
          <w:p w:rsidR="00084EE9" w:rsidRPr="0040799C" w:rsidRDefault="007270C2" w:rsidP="00084EE9">
            <w:pPr>
              <w:wordWrap w:val="0"/>
              <w:spacing w:line="0" w:lineRule="atLeast"/>
              <w:rPr>
                <w:rFonts w:ascii="Times New Roman" w:hAnsi="Times New Roman"/>
                <w:sz w:val="12"/>
                <w:szCs w:val="12"/>
              </w:rPr>
            </w:pPr>
            <w:r w:rsidRPr="0040799C">
              <w:rPr>
                <w:rFonts w:ascii="Times New Roman" w:hAnsi="Times New Roman"/>
                <w:sz w:val="12"/>
                <w:szCs w:val="12"/>
              </w:rPr>
              <w:t>Fax: +34952330100</w:t>
            </w:r>
          </w:p>
          <w:p w:rsidR="00EE7251" w:rsidRPr="0040799C" w:rsidRDefault="00084EE9" w:rsidP="00084EE9">
            <w:pPr>
              <w:wordWrap w:val="0"/>
              <w:spacing w:line="0" w:lineRule="atLeast"/>
              <w:rPr>
                <w:rFonts w:ascii="Times New Roman" w:hAnsi="Times New Roman"/>
                <w:sz w:val="12"/>
                <w:szCs w:val="12"/>
              </w:rPr>
            </w:pPr>
            <w:r w:rsidRPr="0040799C">
              <w:rPr>
                <w:rFonts w:ascii="Times New Roman" w:hAnsi="Times New Roman"/>
                <w:sz w:val="12"/>
                <w:szCs w:val="12"/>
              </w:rPr>
              <w:t>Email-info@cmcmedicaldevices.com</w:t>
            </w:r>
          </w:p>
        </w:tc>
      </w:tr>
      <w:tr w:rsidR="00872005">
        <w:tc>
          <w:tcPr>
            <w:tcW w:w="713" w:type="dxa"/>
          </w:tcPr>
          <w:p w:rsidR="00EE7251" w:rsidRPr="0040799C" w:rsidRDefault="003F5492">
            <w:pPr>
              <w:wordWrap w:val="0"/>
              <w:spacing w:line="0" w:lineRule="atLeast"/>
              <w:rPr>
                <w:rFonts w:ascii="Times New Roman" w:hAnsi="Times New Roman"/>
                <w:sz w:val="12"/>
                <w:szCs w:val="12"/>
              </w:rPr>
            </w:pPr>
            <w:r>
              <w:rPr>
                <w:rFonts w:ascii="Times New Roman" w:hAnsi="Times New Roman"/>
                <w:sz w:val="12"/>
                <w:szCs w:val="12"/>
              </w:rPr>
              <w:pict>
                <v:shape id="图片 8" o:spid="_x0000_i1030" type="#_x0000_t75" alt="lQLPDhrbcaO3_w1NzJ-w9AiHC7eQQxUBlMeZsoASAA_159_77" style="width:18.75pt;height:10.5pt">
                  <v:imagedata r:id="rId26" o:title="lQLPDhrbcaO3_w1NzJ-w9AiHC7eQQxUBlMeZsoASAA_159_77"/>
                </v:shape>
              </w:pict>
            </w:r>
          </w:p>
        </w:tc>
        <w:tc>
          <w:tcPr>
            <w:tcW w:w="4219" w:type="dxa"/>
          </w:tcPr>
          <w:p w:rsidR="00EE7251" w:rsidRPr="0040799C" w:rsidRDefault="007270C2">
            <w:pPr>
              <w:wordWrap w:val="0"/>
              <w:spacing w:line="0" w:lineRule="atLeast"/>
              <w:rPr>
                <w:rFonts w:ascii="Times New Roman" w:hAnsi="Times New Roman"/>
                <w:sz w:val="12"/>
                <w:szCs w:val="12"/>
              </w:rPr>
            </w:pPr>
            <w:r w:rsidRPr="0040799C">
              <w:rPr>
                <w:rFonts w:ascii="Times New Roman" w:hAnsi="Times New Roman"/>
                <w:sz w:val="12"/>
                <w:szCs w:val="12"/>
              </w:rPr>
              <w:t>GBACE-105a/GBAMP-105a/GBAMP-U105a/GBAMP-A105a/GBBAR-105a/GBBAR-A105a/GBBUP-105a/GBBZO-105a/GBBZO-A105a/GBCOC-105a/GBCOC-U105a/GBCOT-105a/GBCLO-105b/GBMDM-105a/GBMDM-105b/GBETG-105a/GBETG-105b/GBFEN-105a/GBFEN-105b/GBNFT-105b/GBNFT-105c/GBGAB-105a/GBHCD-105b/GBHMO-105a/GBK2-105a/GBK2-105b/GBK3-105a/GBKET-105a/GBKET-105d/GBKRA-105a/GBLSD-105a/GBTHC-105a/GBTHC-105e/GBEDD-105a/GBEDD-105b/GBMTD-105a/GBMTD-A105a/GBMET-105a/GBMET-U105a/GBMET-A105a/GBMQL-105a/GBMTC-105a/GBMDP-105a/GBMPD-105a/GBMAM-105a/GBMAM-105b/GBMOP-105a/GBOPI-105a/GBOXY-105a/GBPCP-105a/GBPGB-105a/GBPGB-105b/GBPPX-105a/</w:t>
            </w:r>
            <w:r w:rsidR="000B3FD9" w:rsidRPr="0040799C">
              <w:rPr>
                <w:rFonts w:ascii="Times New Roman" w:hAnsi="Times New Roman"/>
                <w:sz w:val="12"/>
                <w:szCs w:val="12"/>
              </w:rPr>
              <w:t>GBUR-105a/GBSOM-105a/GBTRA-105a/GBTRA-105b/GBTCA-105a/GBZOL-105a</w:t>
            </w:r>
          </w:p>
        </w:tc>
      </w:tr>
    </w:tbl>
    <w:p w:rsidR="00EE7251" w:rsidRDefault="00EE7251">
      <w:pPr>
        <w:autoSpaceDE w:val="0"/>
        <w:autoSpaceDN w:val="0"/>
        <w:adjustRightInd w:val="0"/>
        <w:spacing w:line="0" w:lineRule="atLeast"/>
        <w:rPr>
          <w:rFonts w:ascii="Times New Roman" w:hAnsi="Times New Roman"/>
          <w:sz w:val="12"/>
          <w:szCs w:val="12"/>
        </w:rPr>
      </w:pPr>
    </w:p>
    <w:p w:rsidR="00EE7251" w:rsidRDefault="00EE7251">
      <w:pPr>
        <w:autoSpaceDE w:val="0"/>
        <w:autoSpaceDN w:val="0"/>
        <w:adjustRightInd w:val="0"/>
        <w:spacing w:line="0" w:lineRule="atLeast"/>
        <w:jc w:val="left"/>
        <w:rPr>
          <w:rFonts w:ascii="Times New Roman" w:hAnsi="Times New Roman"/>
          <w:sz w:val="12"/>
          <w:szCs w:val="12"/>
        </w:rPr>
      </w:pPr>
    </w:p>
    <w:p w:rsidR="00EE7251" w:rsidRDefault="00EE7251">
      <w:pPr>
        <w:autoSpaceDE w:val="0"/>
        <w:autoSpaceDN w:val="0"/>
        <w:adjustRightInd w:val="0"/>
        <w:spacing w:line="0" w:lineRule="atLeast"/>
        <w:jc w:val="left"/>
        <w:rPr>
          <w:rFonts w:ascii="Times New Roman" w:hAnsi="Times New Roman"/>
          <w:sz w:val="12"/>
          <w:szCs w:val="12"/>
        </w:rPr>
      </w:pPr>
    </w:p>
    <w:p w:rsidR="00EE7251" w:rsidRDefault="00EE7251">
      <w:pPr>
        <w:autoSpaceDE w:val="0"/>
        <w:autoSpaceDN w:val="0"/>
        <w:adjustRightInd w:val="0"/>
        <w:spacing w:line="0" w:lineRule="atLeast"/>
        <w:jc w:val="left"/>
        <w:rPr>
          <w:rFonts w:ascii="Times New Roman" w:hAnsi="Times New Roman"/>
          <w:sz w:val="12"/>
          <w:szCs w:val="12"/>
        </w:rPr>
      </w:pPr>
    </w:p>
    <w:p w:rsidR="00EE7251" w:rsidRDefault="00EE7251">
      <w:pPr>
        <w:autoSpaceDE w:val="0"/>
        <w:autoSpaceDN w:val="0"/>
        <w:adjustRightInd w:val="0"/>
        <w:spacing w:line="0" w:lineRule="atLeast"/>
        <w:jc w:val="left"/>
        <w:rPr>
          <w:rFonts w:ascii="Times New Roman" w:hAnsi="Times New Roman"/>
          <w:sz w:val="12"/>
          <w:szCs w:val="12"/>
        </w:rPr>
      </w:pPr>
    </w:p>
    <w:p w:rsidR="00EE7251" w:rsidRDefault="00EE7251">
      <w:pPr>
        <w:autoSpaceDE w:val="0"/>
        <w:autoSpaceDN w:val="0"/>
        <w:adjustRightInd w:val="0"/>
        <w:spacing w:line="0" w:lineRule="atLeast"/>
        <w:jc w:val="left"/>
        <w:rPr>
          <w:rFonts w:ascii="Times New Roman" w:hAnsi="Times New Roman"/>
          <w:sz w:val="12"/>
          <w:szCs w:val="12"/>
        </w:rPr>
      </w:pPr>
    </w:p>
    <w:p w:rsidR="00EE7251" w:rsidRDefault="00EE7251">
      <w:pPr>
        <w:autoSpaceDE w:val="0"/>
        <w:autoSpaceDN w:val="0"/>
        <w:adjustRightInd w:val="0"/>
        <w:spacing w:line="0" w:lineRule="atLeast"/>
        <w:jc w:val="left"/>
        <w:rPr>
          <w:rFonts w:ascii="Times New Roman" w:hAnsi="Times New Roman"/>
          <w:sz w:val="12"/>
          <w:szCs w:val="12"/>
        </w:rPr>
      </w:pPr>
    </w:p>
    <w:p w:rsidR="00EE7251" w:rsidRDefault="00EE7251">
      <w:pPr>
        <w:autoSpaceDE w:val="0"/>
        <w:autoSpaceDN w:val="0"/>
        <w:adjustRightInd w:val="0"/>
        <w:spacing w:line="0" w:lineRule="atLeast"/>
        <w:jc w:val="left"/>
        <w:rPr>
          <w:rFonts w:ascii="Times New Roman" w:hAnsi="Times New Roman"/>
          <w:sz w:val="12"/>
          <w:szCs w:val="12"/>
        </w:rPr>
      </w:pPr>
    </w:p>
    <w:p w:rsidR="00EE7251" w:rsidRDefault="00EE7251">
      <w:pPr>
        <w:autoSpaceDE w:val="0"/>
        <w:autoSpaceDN w:val="0"/>
        <w:adjustRightInd w:val="0"/>
        <w:spacing w:line="0" w:lineRule="atLeast"/>
        <w:jc w:val="left"/>
        <w:rPr>
          <w:rFonts w:ascii="Times New Roman" w:hAnsi="Times New Roman"/>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
          <w:bCs/>
          <w:sz w:val="12"/>
          <w:szCs w:val="12"/>
        </w:rPr>
      </w:pPr>
    </w:p>
    <w:p w:rsidR="00EE7251" w:rsidRDefault="00EE7251">
      <w:pPr>
        <w:autoSpaceDE w:val="0"/>
        <w:autoSpaceDN w:val="0"/>
        <w:adjustRightInd w:val="0"/>
        <w:spacing w:line="0" w:lineRule="atLeast"/>
        <w:jc w:val="right"/>
        <w:rPr>
          <w:rFonts w:ascii="Times New Roman" w:hAnsi="Times New Roman"/>
          <w:bCs/>
          <w:sz w:val="12"/>
          <w:szCs w:val="12"/>
        </w:rPr>
      </w:pPr>
    </w:p>
    <w:p w:rsidR="00EE7251" w:rsidRDefault="00EE7251">
      <w:pPr>
        <w:autoSpaceDE w:val="0"/>
        <w:autoSpaceDN w:val="0"/>
        <w:adjustRightInd w:val="0"/>
        <w:spacing w:line="0" w:lineRule="atLeast"/>
        <w:jc w:val="right"/>
        <w:rPr>
          <w:rFonts w:ascii="Times New Roman" w:hAnsi="Times New Roman"/>
          <w:bCs/>
          <w:sz w:val="12"/>
          <w:szCs w:val="12"/>
        </w:rPr>
      </w:pPr>
    </w:p>
    <w:p w:rsidR="00EE7251" w:rsidRDefault="00EE7251">
      <w:pPr>
        <w:autoSpaceDE w:val="0"/>
        <w:autoSpaceDN w:val="0"/>
        <w:adjustRightInd w:val="0"/>
        <w:spacing w:line="0" w:lineRule="atLeast"/>
        <w:jc w:val="right"/>
        <w:rPr>
          <w:rFonts w:ascii="Times New Roman" w:hAnsi="Times New Roman"/>
          <w:bCs/>
          <w:sz w:val="12"/>
          <w:szCs w:val="12"/>
        </w:rPr>
      </w:pPr>
    </w:p>
    <w:p w:rsidR="00EE7251" w:rsidRDefault="00EE7251">
      <w:pPr>
        <w:autoSpaceDE w:val="0"/>
        <w:autoSpaceDN w:val="0"/>
        <w:adjustRightInd w:val="0"/>
        <w:spacing w:line="0" w:lineRule="atLeast"/>
        <w:jc w:val="right"/>
        <w:rPr>
          <w:rFonts w:ascii="Times New Roman" w:hAnsi="Times New Roman"/>
          <w:bCs/>
          <w:sz w:val="12"/>
          <w:szCs w:val="12"/>
        </w:rPr>
      </w:pPr>
    </w:p>
    <w:p w:rsidR="006D0AA6" w:rsidRDefault="006D0AA6">
      <w:pPr>
        <w:autoSpaceDE w:val="0"/>
        <w:autoSpaceDN w:val="0"/>
        <w:adjustRightInd w:val="0"/>
        <w:spacing w:line="0" w:lineRule="atLeast"/>
        <w:jc w:val="right"/>
        <w:rPr>
          <w:rFonts w:ascii="Times New Roman" w:hAnsi="Times New Roman"/>
          <w:bCs/>
          <w:sz w:val="12"/>
          <w:szCs w:val="12"/>
        </w:rPr>
      </w:pPr>
    </w:p>
    <w:p w:rsidR="00EE7251" w:rsidRDefault="00EE7251">
      <w:pPr>
        <w:autoSpaceDE w:val="0"/>
        <w:autoSpaceDN w:val="0"/>
        <w:adjustRightInd w:val="0"/>
        <w:spacing w:line="0" w:lineRule="atLeast"/>
        <w:jc w:val="right"/>
        <w:rPr>
          <w:rFonts w:ascii="Times New Roman" w:hAnsi="Times New Roman"/>
          <w:bCs/>
          <w:sz w:val="12"/>
          <w:szCs w:val="12"/>
        </w:rPr>
      </w:pPr>
    </w:p>
    <w:p w:rsidR="00EE7251" w:rsidRDefault="00EE7251">
      <w:pPr>
        <w:autoSpaceDE w:val="0"/>
        <w:autoSpaceDN w:val="0"/>
        <w:adjustRightInd w:val="0"/>
        <w:spacing w:line="0" w:lineRule="atLeast"/>
        <w:jc w:val="right"/>
        <w:rPr>
          <w:rFonts w:ascii="Times New Roman" w:hAnsi="Times New Roman"/>
          <w:bCs/>
          <w:sz w:val="12"/>
          <w:szCs w:val="12"/>
        </w:rPr>
      </w:pPr>
    </w:p>
    <w:p w:rsidR="00EE7251" w:rsidRDefault="00EE7251">
      <w:pPr>
        <w:autoSpaceDE w:val="0"/>
        <w:autoSpaceDN w:val="0"/>
        <w:adjustRightInd w:val="0"/>
        <w:spacing w:line="0" w:lineRule="atLeast"/>
        <w:jc w:val="right"/>
        <w:rPr>
          <w:rFonts w:ascii="Times New Roman" w:hAnsi="Times New Roman"/>
          <w:bCs/>
          <w:sz w:val="12"/>
          <w:szCs w:val="12"/>
        </w:rPr>
      </w:pPr>
    </w:p>
    <w:p w:rsidR="00EE7251" w:rsidRDefault="00EE7251">
      <w:pPr>
        <w:autoSpaceDE w:val="0"/>
        <w:autoSpaceDN w:val="0"/>
        <w:adjustRightInd w:val="0"/>
        <w:spacing w:line="0" w:lineRule="atLeast"/>
        <w:jc w:val="right"/>
        <w:rPr>
          <w:rFonts w:ascii="Times New Roman" w:hAnsi="Times New Roman"/>
          <w:bCs/>
          <w:sz w:val="12"/>
          <w:szCs w:val="12"/>
        </w:rPr>
      </w:pPr>
    </w:p>
    <w:p w:rsidR="00EE7251" w:rsidRDefault="00EE7251">
      <w:pPr>
        <w:autoSpaceDE w:val="0"/>
        <w:autoSpaceDN w:val="0"/>
        <w:adjustRightInd w:val="0"/>
        <w:spacing w:line="0" w:lineRule="atLeast"/>
        <w:jc w:val="right"/>
        <w:rPr>
          <w:rFonts w:ascii="Times New Roman" w:hAnsi="Times New Roman"/>
          <w:bCs/>
          <w:sz w:val="12"/>
          <w:szCs w:val="12"/>
        </w:rPr>
      </w:pPr>
    </w:p>
    <w:p w:rsidR="00EE7251" w:rsidRDefault="00EE7251">
      <w:pPr>
        <w:autoSpaceDE w:val="0"/>
        <w:autoSpaceDN w:val="0"/>
        <w:adjustRightInd w:val="0"/>
        <w:spacing w:line="0" w:lineRule="atLeast"/>
        <w:jc w:val="right"/>
        <w:rPr>
          <w:rFonts w:ascii="Times New Roman" w:hAnsi="Times New Roman"/>
          <w:bCs/>
          <w:sz w:val="12"/>
          <w:szCs w:val="12"/>
        </w:rPr>
      </w:pPr>
    </w:p>
    <w:p w:rsidR="00EE7251" w:rsidRDefault="00EE7251">
      <w:pPr>
        <w:autoSpaceDE w:val="0"/>
        <w:autoSpaceDN w:val="0"/>
        <w:adjustRightInd w:val="0"/>
        <w:spacing w:line="0" w:lineRule="atLeast"/>
        <w:jc w:val="right"/>
        <w:rPr>
          <w:rFonts w:ascii="Times New Roman" w:hAnsi="Times New Roman"/>
          <w:bCs/>
          <w:sz w:val="12"/>
          <w:szCs w:val="12"/>
        </w:rPr>
      </w:pPr>
    </w:p>
    <w:p w:rsidR="00EE7251" w:rsidRDefault="00EE7251">
      <w:pPr>
        <w:autoSpaceDE w:val="0"/>
        <w:autoSpaceDN w:val="0"/>
        <w:adjustRightInd w:val="0"/>
        <w:spacing w:line="0" w:lineRule="atLeast"/>
        <w:jc w:val="right"/>
        <w:rPr>
          <w:rFonts w:ascii="Times New Roman" w:hAnsi="Times New Roman"/>
          <w:bCs/>
          <w:sz w:val="12"/>
          <w:szCs w:val="12"/>
        </w:rPr>
      </w:pPr>
    </w:p>
    <w:p w:rsidR="00EE7251" w:rsidRDefault="00EE7251">
      <w:pPr>
        <w:autoSpaceDE w:val="0"/>
        <w:autoSpaceDN w:val="0"/>
        <w:adjustRightInd w:val="0"/>
        <w:spacing w:line="0" w:lineRule="atLeast"/>
        <w:jc w:val="right"/>
        <w:rPr>
          <w:rFonts w:ascii="Times New Roman" w:hAnsi="Times New Roman"/>
          <w:bCs/>
          <w:sz w:val="12"/>
          <w:szCs w:val="12"/>
        </w:rPr>
      </w:pPr>
    </w:p>
    <w:p w:rsidR="00EE7251" w:rsidRDefault="00EE7251">
      <w:pPr>
        <w:autoSpaceDE w:val="0"/>
        <w:autoSpaceDN w:val="0"/>
        <w:adjustRightInd w:val="0"/>
        <w:spacing w:line="0" w:lineRule="atLeast"/>
        <w:jc w:val="right"/>
        <w:rPr>
          <w:rFonts w:ascii="Times New Roman" w:hAnsi="Times New Roman"/>
          <w:bCs/>
          <w:sz w:val="12"/>
          <w:szCs w:val="12"/>
        </w:rPr>
      </w:pPr>
    </w:p>
    <w:p w:rsidR="00EE7251" w:rsidRDefault="00EE7251">
      <w:pPr>
        <w:autoSpaceDE w:val="0"/>
        <w:autoSpaceDN w:val="0"/>
        <w:adjustRightInd w:val="0"/>
        <w:spacing w:line="0" w:lineRule="atLeast"/>
        <w:jc w:val="right"/>
        <w:rPr>
          <w:rFonts w:ascii="Times New Roman" w:hAnsi="Times New Roman"/>
          <w:bCs/>
          <w:sz w:val="12"/>
          <w:szCs w:val="12"/>
        </w:rPr>
      </w:pPr>
    </w:p>
    <w:p w:rsidR="00EE7251" w:rsidRDefault="00EE7251">
      <w:pPr>
        <w:autoSpaceDE w:val="0"/>
        <w:autoSpaceDN w:val="0"/>
        <w:adjustRightInd w:val="0"/>
        <w:spacing w:line="0" w:lineRule="atLeast"/>
        <w:jc w:val="right"/>
        <w:rPr>
          <w:rFonts w:ascii="Times New Roman" w:hAnsi="Times New Roman"/>
          <w:bCs/>
          <w:sz w:val="12"/>
          <w:szCs w:val="12"/>
        </w:rPr>
      </w:pPr>
    </w:p>
    <w:p w:rsidR="00EE7251" w:rsidRDefault="00EE7251">
      <w:pPr>
        <w:autoSpaceDE w:val="0"/>
        <w:autoSpaceDN w:val="0"/>
        <w:adjustRightInd w:val="0"/>
        <w:spacing w:line="0" w:lineRule="atLeast"/>
        <w:jc w:val="right"/>
        <w:rPr>
          <w:rFonts w:ascii="Times New Roman" w:hAnsi="Times New Roman"/>
          <w:bCs/>
          <w:sz w:val="12"/>
          <w:szCs w:val="12"/>
        </w:rPr>
      </w:pPr>
    </w:p>
    <w:p w:rsidR="00EE7251" w:rsidRDefault="00EE7251">
      <w:pPr>
        <w:autoSpaceDE w:val="0"/>
        <w:autoSpaceDN w:val="0"/>
        <w:adjustRightInd w:val="0"/>
        <w:spacing w:line="0" w:lineRule="atLeast"/>
        <w:jc w:val="right"/>
        <w:rPr>
          <w:rFonts w:ascii="Times New Roman" w:hAnsi="Times New Roman"/>
          <w:bCs/>
          <w:sz w:val="12"/>
          <w:szCs w:val="12"/>
        </w:rPr>
      </w:pPr>
    </w:p>
    <w:p w:rsidR="00EE7251" w:rsidRDefault="007270C2">
      <w:pPr>
        <w:autoSpaceDE w:val="0"/>
        <w:autoSpaceDN w:val="0"/>
        <w:adjustRightInd w:val="0"/>
        <w:spacing w:line="0" w:lineRule="atLeast"/>
        <w:jc w:val="right"/>
        <w:rPr>
          <w:rFonts w:ascii="Times New Roman" w:hAnsi="Times New Roman"/>
          <w:bCs/>
          <w:sz w:val="12"/>
          <w:szCs w:val="12"/>
        </w:rPr>
      </w:pPr>
      <w:r>
        <w:rPr>
          <w:rFonts w:ascii="Times New Roman" w:hAnsi="Times New Roman"/>
          <w:bCs/>
          <w:sz w:val="12"/>
          <w:szCs w:val="12"/>
        </w:rPr>
        <w:t>Datum revize: 2</w:t>
      </w:r>
      <w:r w:rsidR="00084EE9">
        <w:rPr>
          <w:rFonts w:ascii="Times New Roman" w:hAnsi="Times New Roman"/>
          <w:bCs/>
          <w:sz w:val="12"/>
          <w:szCs w:val="12"/>
        </w:rPr>
        <w:t>1. 12. 2023</w:t>
      </w:r>
    </w:p>
    <w:p w:rsidR="00253941" w:rsidRDefault="007270C2">
      <w:pPr>
        <w:autoSpaceDE w:val="0"/>
        <w:autoSpaceDN w:val="0"/>
        <w:adjustRightInd w:val="0"/>
        <w:spacing w:line="0" w:lineRule="atLeast"/>
        <w:jc w:val="right"/>
        <w:rPr>
          <w:rFonts w:ascii="Times New Roman" w:hAnsi="Times New Roman"/>
          <w:bCs/>
          <w:sz w:val="12"/>
          <w:szCs w:val="12"/>
        </w:rPr>
      </w:pPr>
      <w:r>
        <w:rPr>
          <w:rFonts w:ascii="Times New Roman" w:hAnsi="Times New Roman"/>
          <w:bCs/>
          <w:sz w:val="12"/>
          <w:szCs w:val="12"/>
        </w:rPr>
        <w:t>B22872-02</w:t>
      </w:r>
    </w:p>
    <w:sectPr w:rsidR="00253941">
      <w:footerReference w:type="default" r:id="rId27"/>
      <w:pgSz w:w="16783" w:h="11850" w:orient="landscape"/>
      <w:pgMar w:top="624" w:right="709" w:bottom="624" w:left="709" w:header="0" w:footer="283" w:gutter="0"/>
      <w:cols w:num="3" w:space="4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492" w:rsidRDefault="003F5492">
      <w:r>
        <w:separator/>
      </w:r>
    </w:p>
  </w:endnote>
  <w:endnote w:type="continuationSeparator" w:id="0">
    <w:p w:rsidR="003F5492" w:rsidRDefault="003F5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embedRegular r:id="rId1" w:fontKey="{27DEF731-FEC3-4763-BF32-31FD5E25CC18}"/>
    <w:embedBold r:id="rId2" w:fontKey="{112D801F-4EC1-4AB5-8B1E-9C7D17D83B2B}"/>
    <w:embedItalic r:id="rId3" w:fontKey="{1E343A86-AD8F-4B0C-9AFD-B5E7362D63AD}"/>
  </w:font>
  <w:font w:name="SimSun">
    <w:altName w:val="宋体"/>
    <w:panose1 w:val="02010600030101010101"/>
    <w:charset w:val="86"/>
    <w:family w:val="auto"/>
    <w:pitch w:val="variable"/>
    <w:sig w:usb0="00000203" w:usb1="288F0000" w:usb2="00000016" w:usb3="00000000" w:csb0="00040001" w:csb1="00000000"/>
  </w:font>
  <w:font w:name="??¨¬?">
    <w:altName w:val="SimSun"/>
    <w:charset w:val="86"/>
    <w:family w:val="auto"/>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
    <w:altName w:val="SimSun"/>
    <w:charset w:val="86"/>
    <w:family w:val="auto"/>
    <w:pitch w:val="default"/>
    <w:sig w:usb0="00000001" w:usb1="080E0000" w:usb2="00000010" w:usb3="00000000" w:csb0="00040000" w:csb1="00000000"/>
  </w:font>
  <w:font w:name="DengXian">
    <w:altName w:val="SimSun"/>
    <w:panose1 w:val="02010600030101010101"/>
    <w:charset w:val="86"/>
    <w:family w:val="auto"/>
    <w:pitch w:val="variable"/>
    <w:sig w:usb0="A00002BF" w:usb1="38CF7CFA" w:usb2="00000016" w:usb3="00000000" w:csb0="0004000F" w:csb1="00000000"/>
  </w:font>
  <w:font w:name="Microsoft YaHei">
    <w:altName w:val="微软雅黑"/>
    <w:panose1 w:val="020B0503020204020204"/>
    <w:charset w:val="86"/>
    <w:family w:val="swiss"/>
    <w:pitch w:val="variable"/>
    <w:sig w:usb0="80000287" w:usb1="2ACF3C50" w:usb2="00000016" w:usb3="00000000" w:csb0="0004001F" w:csb1="00000000"/>
  </w:font>
  <w:font w:name="Cambria">
    <w:panose1 w:val="02040503050406030204"/>
    <w:charset w:val="EE"/>
    <w:family w:val="roman"/>
    <w:pitch w:val="variable"/>
    <w:sig w:usb0="E00006FF" w:usb1="420024FF" w:usb2="02000000" w:usb3="00000000" w:csb0="0000019F" w:csb1="00000000"/>
    <w:embedRegular r:id="rId4" w:fontKey="{B0E78C83-BAEE-44AF-BDA1-3F68AE9BA1FA}"/>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251" w:rsidRDefault="003F5492">
    <w:pPr>
      <w:pStyle w:val="Footer"/>
    </w:pPr>
    <w:r>
      <w:pict>
        <v:shapetype id="_x0000_t202" coordsize="21600,21600" o:spt="202" path="m,l,21600r21600,l21600,xe">
          <v:stroke joinstyle="miter"/>
          <v:path gradientshapeok="t" o:connecttype="rect"/>
        </v:shapetype>
        <v:shape id="文本框 1" o:spid="_x0000_s2049" type="#_x0000_t202" style="position:absolute;margin-left:0;margin-top:0;width:2in;height:2in;z-index:1;mso-wrap-style:none;mso-position-horizontal:center;mso-position-horizontal-relative:margin" filled="f" stroked="f">
          <v:fill o:detectmouseclick="t"/>
          <v:textbox style="mso-fit-shape-to-text:t" inset="0,0,0,0">
            <w:txbxContent>
              <w:p w:rsidR="00EE7251" w:rsidRDefault="007270C2">
                <w:pPr>
                  <w:pStyle w:val="Footer"/>
                </w:pPr>
                <w:r>
                  <w:rPr>
                    <w:rFonts w:hint="eastAsia"/>
                  </w:rPr>
                  <w:fldChar w:fldCharType="begin"/>
                </w:r>
                <w:r>
                  <w:rPr>
                    <w:rFonts w:hint="eastAsia"/>
                  </w:rPr>
                  <w:instrText xml:space="preserve"> PAGE  \* MERGEFORMAT </w:instrText>
                </w:r>
                <w:r>
                  <w:rPr>
                    <w:rFonts w:hint="eastAsia"/>
                  </w:rPr>
                  <w:fldChar w:fldCharType="separate"/>
                </w:r>
                <w:r w:rsidR="009706B0">
                  <w:rPr>
                    <w:noProof/>
                  </w:rPr>
                  <w:t>9</w:t>
                </w:r>
                <w:r>
                  <w:rPr>
                    <w:rFonts w:hint="eastAsia"/>
                  </w:rP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492" w:rsidRDefault="003F5492">
      <w:r>
        <w:separator/>
      </w:r>
    </w:p>
  </w:footnote>
  <w:footnote w:type="continuationSeparator" w:id="0">
    <w:p w:rsidR="003F5492" w:rsidRDefault="003F54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22BF4"/>
    <w:multiLevelType w:val="multilevel"/>
    <w:tmpl w:val="03E22BF4"/>
    <w:lvl w:ilvl="0">
      <w:start w:val="1"/>
      <w:numFmt w:val="decimal"/>
      <w:lvlText w:val="%1."/>
      <w:lvlJc w:val="left"/>
      <w:pPr>
        <w:ind w:left="360" w:hanging="360"/>
      </w:pPr>
      <w:rPr>
        <w:rFonts w:hint="default"/>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30D47507"/>
    <w:multiLevelType w:val="multilevel"/>
    <w:tmpl w:val="30D47507"/>
    <w:lvl w:ilvl="0">
      <w:start w:val="1"/>
      <w:numFmt w:val="bullet"/>
      <w:lvlText w:val=""/>
      <w:lvlJc w:val="left"/>
      <w:pPr>
        <w:ind w:left="420" w:hanging="420"/>
      </w:pPr>
      <w:rPr>
        <w:rFonts w:ascii="Symbol" w:hAnsi="Symbol"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 w15:restartNumberingAfterBreak="0">
    <w:nsid w:val="4E5E334D"/>
    <w:multiLevelType w:val="multilevel"/>
    <w:tmpl w:val="4E5E334D"/>
    <w:lvl w:ilvl="0">
      <w:start w:val="1"/>
      <w:numFmt w:val="bullet"/>
      <w:lvlText w:val=""/>
      <w:lvlJc w:val="left"/>
      <w:pPr>
        <w:ind w:left="420" w:hanging="420"/>
      </w:pPr>
      <w:rPr>
        <w:rFonts w:ascii="Symbol" w:hAnsi="Symbol"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 w15:restartNumberingAfterBreak="0">
    <w:nsid w:val="59816955"/>
    <w:multiLevelType w:val="multilevel"/>
    <w:tmpl w:val="59816955"/>
    <w:lvl w:ilvl="0">
      <w:start w:val="1"/>
      <w:numFmt w:val="bullet"/>
      <w:lvlText w:val=""/>
      <w:lvlJc w:val="left"/>
      <w:pPr>
        <w:ind w:left="216" w:hanging="216"/>
      </w:pPr>
      <w:rPr>
        <w:rFonts w:ascii="Symbol" w:hAnsi="Symbol" w:hint="default"/>
      </w:rPr>
    </w:lvl>
    <w:lvl w:ilvl="1">
      <w:start w:val="1"/>
      <w:numFmt w:val="bullet"/>
      <w:lvlText w:val="o"/>
      <w:lvlJc w:val="left"/>
      <w:pPr>
        <w:ind w:left="1440" w:hanging="360"/>
      </w:pPr>
      <w:rPr>
        <w:rFonts w:ascii="Courier New" w:hAnsi="Courier New" w:cs="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Wingdings"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Wingdings"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hyphenationZone w:val="425"/>
  <w:drawingGridHorizontalSpacing w:val="193"/>
  <w:drawingGridVerticalSpacing w:val="156"/>
  <w:noPunctuationKerning/>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VkMzJhM2EyMjM1NmUwY2MyYTg2MDc1ZTJlYTBjNmQifQ=="/>
  </w:docVars>
  <w:rsids>
    <w:rsidRoot w:val="00172A27"/>
    <w:rsid w:val="F3ED3B56"/>
    <w:rsid w:val="00002496"/>
    <w:rsid w:val="00002F46"/>
    <w:rsid w:val="00005469"/>
    <w:rsid w:val="00017154"/>
    <w:rsid w:val="00023FDF"/>
    <w:rsid w:val="000342B5"/>
    <w:rsid w:val="00040829"/>
    <w:rsid w:val="00043325"/>
    <w:rsid w:val="00060825"/>
    <w:rsid w:val="00060D89"/>
    <w:rsid w:val="0006651A"/>
    <w:rsid w:val="00066C6D"/>
    <w:rsid w:val="0007493D"/>
    <w:rsid w:val="000754C4"/>
    <w:rsid w:val="0008087B"/>
    <w:rsid w:val="00080E5F"/>
    <w:rsid w:val="00084EE9"/>
    <w:rsid w:val="00085E50"/>
    <w:rsid w:val="0009268F"/>
    <w:rsid w:val="000A07BC"/>
    <w:rsid w:val="000B3FD9"/>
    <w:rsid w:val="000B50EA"/>
    <w:rsid w:val="000C56C3"/>
    <w:rsid w:val="000C609B"/>
    <w:rsid w:val="000C7AA1"/>
    <w:rsid w:val="000D0341"/>
    <w:rsid w:val="000D08CE"/>
    <w:rsid w:val="000D4637"/>
    <w:rsid w:val="000D4BDE"/>
    <w:rsid w:val="000E0859"/>
    <w:rsid w:val="000E524B"/>
    <w:rsid w:val="000F0DE2"/>
    <w:rsid w:val="000F44E7"/>
    <w:rsid w:val="000F5DD3"/>
    <w:rsid w:val="001063CF"/>
    <w:rsid w:val="001110BC"/>
    <w:rsid w:val="0011518E"/>
    <w:rsid w:val="00117A1C"/>
    <w:rsid w:val="0012407E"/>
    <w:rsid w:val="00133D45"/>
    <w:rsid w:val="00135C83"/>
    <w:rsid w:val="001372FC"/>
    <w:rsid w:val="0015723C"/>
    <w:rsid w:val="0016314E"/>
    <w:rsid w:val="00171BAD"/>
    <w:rsid w:val="00172A27"/>
    <w:rsid w:val="001761BD"/>
    <w:rsid w:val="00180162"/>
    <w:rsid w:val="00190D09"/>
    <w:rsid w:val="00191EF7"/>
    <w:rsid w:val="00196311"/>
    <w:rsid w:val="001A4001"/>
    <w:rsid w:val="001B0B49"/>
    <w:rsid w:val="001C02F0"/>
    <w:rsid w:val="001D48FE"/>
    <w:rsid w:val="001D4B99"/>
    <w:rsid w:val="001E5AC8"/>
    <w:rsid w:val="001F3C73"/>
    <w:rsid w:val="001F5C53"/>
    <w:rsid w:val="00202655"/>
    <w:rsid w:val="00210AD5"/>
    <w:rsid w:val="00217158"/>
    <w:rsid w:val="002257A9"/>
    <w:rsid w:val="00225DDB"/>
    <w:rsid w:val="00230133"/>
    <w:rsid w:val="002305D1"/>
    <w:rsid w:val="00237246"/>
    <w:rsid w:val="00242B19"/>
    <w:rsid w:val="00246F0A"/>
    <w:rsid w:val="00253941"/>
    <w:rsid w:val="00256FAD"/>
    <w:rsid w:val="002575AE"/>
    <w:rsid w:val="00262E05"/>
    <w:rsid w:val="00265DBA"/>
    <w:rsid w:val="00266DF8"/>
    <w:rsid w:val="00273079"/>
    <w:rsid w:val="00274367"/>
    <w:rsid w:val="002744F8"/>
    <w:rsid w:val="00281DF1"/>
    <w:rsid w:val="002834CD"/>
    <w:rsid w:val="002A12D0"/>
    <w:rsid w:val="002A3DB7"/>
    <w:rsid w:val="002A5E1F"/>
    <w:rsid w:val="002B32D7"/>
    <w:rsid w:val="002B751B"/>
    <w:rsid w:val="002C3D11"/>
    <w:rsid w:val="002D0B3E"/>
    <w:rsid w:val="002D4C64"/>
    <w:rsid w:val="002D66AD"/>
    <w:rsid w:val="002D71DD"/>
    <w:rsid w:val="002E27B9"/>
    <w:rsid w:val="002E3675"/>
    <w:rsid w:val="002F0B9B"/>
    <w:rsid w:val="002F3733"/>
    <w:rsid w:val="002F43E7"/>
    <w:rsid w:val="003074B8"/>
    <w:rsid w:val="00312A0A"/>
    <w:rsid w:val="0032048E"/>
    <w:rsid w:val="003223B5"/>
    <w:rsid w:val="003242B8"/>
    <w:rsid w:val="003251F8"/>
    <w:rsid w:val="00331078"/>
    <w:rsid w:val="003318B1"/>
    <w:rsid w:val="00336C7D"/>
    <w:rsid w:val="00344918"/>
    <w:rsid w:val="00347AE5"/>
    <w:rsid w:val="00350E21"/>
    <w:rsid w:val="00350F17"/>
    <w:rsid w:val="0035160E"/>
    <w:rsid w:val="00353202"/>
    <w:rsid w:val="00356D2F"/>
    <w:rsid w:val="00356E54"/>
    <w:rsid w:val="0035737D"/>
    <w:rsid w:val="00360BEE"/>
    <w:rsid w:val="0036129E"/>
    <w:rsid w:val="0036324A"/>
    <w:rsid w:val="003717A9"/>
    <w:rsid w:val="00372921"/>
    <w:rsid w:val="00380762"/>
    <w:rsid w:val="003836D1"/>
    <w:rsid w:val="00385616"/>
    <w:rsid w:val="003919B9"/>
    <w:rsid w:val="00394DEE"/>
    <w:rsid w:val="003A0DFA"/>
    <w:rsid w:val="003A4B66"/>
    <w:rsid w:val="003A6694"/>
    <w:rsid w:val="003C0D62"/>
    <w:rsid w:val="003C3B7E"/>
    <w:rsid w:val="003C4EA2"/>
    <w:rsid w:val="003C54D0"/>
    <w:rsid w:val="003C6165"/>
    <w:rsid w:val="003E198A"/>
    <w:rsid w:val="003E2F15"/>
    <w:rsid w:val="003E3821"/>
    <w:rsid w:val="003E3893"/>
    <w:rsid w:val="003E4100"/>
    <w:rsid w:val="003F3BF6"/>
    <w:rsid w:val="003F5492"/>
    <w:rsid w:val="00400539"/>
    <w:rsid w:val="004042FF"/>
    <w:rsid w:val="004066C1"/>
    <w:rsid w:val="00406A21"/>
    <w:rsid w:val="0040799C"/>
    <w:rsid w:val="00407DF6"/>
    <w:rsid w:val="00407F4E"/>
    <w:rsid w:val="00407FFD"/>
    <w:rsid w:val="00412E1F"/>
    <w:rsid w:val="00414E38"/>
    <w:rsid w:val="00415B32"/>
    <w:rsid w:val="00420067"/>
    <w:rsid w:val="004242CF"/>
    <w:rsid w:val="004306FA"/>
    <w:rsid w:val="00437D09"/>
    <w:rsid w:val="00444BEA"/>
    <w:rsid w:val="004511BD"/>
    <w:rsid w:val="00456DBD"/>
    <w:rsid w:val="00471619"/>
    <w:rsid w:val="00473BD7"/>
    <w:rsid w:val="0047455E"/>
    <w:rsid w:val="00474B26"/>
    <w:rsid w:val="0047677C"/>
    <w:rsid w:val="00480778"/>
    <w:rsid w:val="00493DA3"/>
    <w:rsid w:val="004A2E39"/>
    <w:rsid w:val="004A48DA"/>
    <w:rsid w:val="004B73C9"/>
    <w:rsid w:val="004C08EB"/>
    <w:rsid w:val="004C5269"/>
    <w:rsid w:val="004C6868"/>
    <w:rsid w:val="004D1274"/>
    <w:rsid w:val="004D24F8"/>
    <w:rsid w:val="004E0366"/>
    <w:rsid w:val="004E20E5"/>
    <w:rsid w:val="004E2DBD"/>
    <w:rsid w:val="004E64A4"/>
    <w:rsid w:val="004F3B2A"/>
    <w:rsid w:val="004F4E3E"/>
    <w:rsid w:val="004F70DA"/>
    <w:rsid w:val="00505CB0"/>
    <w:rsid w:val="00510F8D"/>
    <w:rsid w:val="005154F9"/>
    <w:rsid w:val="00522180"/>
    <w:rsid w:val="00531589"/>
    <w:rsid w:val="00534401"/>
    <w:rsid w:val="005355D8"/>
    <w:rsid w:val="00535915"/>
    <w:rsid w:val="00540138"/>
    <w:rsid w:val="00541DD7"/>
    <w:rsid w:val="005439FD"/>
    <w:rsid w:val="00545081"/>
    <w:rsid w:val="00552807"/>
    <w:rsid w:val="0055603D"/>
    <w:rsid w:val="00563ECE"/>
    <w:rsid w:val="00564D4C"/>
    <w:rsid w:val="005671D0"/>
    <w:rsid w:val="00570DB2"/>
    <w:rsid w:val="00576288"/>
    <w:rsid w:val="00577794"/>
    <w:rsid w:val="005842B8"/>
    <w:rsid w:val="00585754"/>
    <w:rsid w:val="00585FEA"/>
    <w:rsid w:val="00586F06"/>
    <w:rsid w:val="00587876"/>
    <w:rsid w:val="00596DCA"/>
    <w:rsid w:val="005A534C"/>
    <w:rsid w:val="005A5592"/>
    <w:rsid w:val="005A6DF1"/>
    <w:rsid w:val="005C1475"/>
    <w:rsid w:val="005C5A52"/>
    <w:rsid w:val="005C5D81"/>
    <w:rsid w:val="005C7A80"/>
    <w:rsid w:val="005D11DE"/>
    <w:rsid w:val="005E3048"/>
    <w:rsid w:val="005E762E"/>
    <w:rsid w:val="005F736A"/>
    <w:rsid w:val="005F7371"/>
    <w:rsid w:val="00600638"/>
    <w:rsid w:val="006113D8"/>
    <w:rsid w:val="0061344C"/>
    <w:rsid w:val="006239F1"/>
    <w:rsid w:val="0063091A"/>
    <w:rsid w:val="00630F85"/>
    <w:rsid w:val="006318DB"/>
    <w:rsid w:val="00631956"/>
    <w:rsid w:val="006461E9"/>
    <w:rsid w:val="00652D10"/>
    <w:rsid w:val="00654238"/>
    <w:rsid w:val="006568B0"/>
    <w:rsid w:val="00667E20"/>
    <w:rsid w:val="006738DC"/>
    <w:rsid w:val="006A3AD8"/>
    <w:rsid w:val="006B4D8B"/>
    <w:rsid w:val="006B7126"/>
    <w:rsid w:val="006B7B40"/>
    <w:rsid w:val="006C102C"/>
    <w:rsid w:val="006C25E4"/>
    <w:rsid w:val="006C6C20"/>
    <w:rsid w:val="006D0AA6"/>
    <w:rsid w:val="006D0D2C"/>
    <w:rsid w:val="006D1A5C"/>
    <w:rsid w:val="006E178F"/>
    <w:rsid w:val="006F1411"/>
    <w:rsid w:val="006F33D8"/>
    <w:rsid w:val="00702AA0"/>
    <w:rsid w:val="007036C9"/>
    <w:rsid w:val="00704264"/>
    <w:rsid w:val="007045AC"/>
    <w:rsid w:val="00722C3F"/>
    <w:rsid w:val="007270C2"/>
    <w:rsid w:val="0073691A"/>
    <w:rsid w:val="0073748B"/>
    <w:rsid w:val="0074116E"/>
    <w:rsid w:val="00742EEF"/>
    <w:rsid w:val="00745AF6"/>
    <w:rsid w:val="00746AB7"/>
    <w:rsid w:val="007516FF"/>
    <w:rsid w:val="007561D9"/>
    <w:rsid w:val="00762D1F"/>
    <w:rsid w:val="00763D1C"/>
    <w:rsid w:val="00763E39"/>
    <w:rsid w:val="00765D30"/>
    <w:rsid w:val="0076640E"/>
    <w:rsid w:val="007738A0"/>
    <w:rsid w:val="007808FE"/>
    <w:rsid w:val="00784988"/>
    <w:rsid w:val="00791DEA"/>
    <w:rsid w:val="00794194"/>
    <w:rsid w:val="007A598E"/>
    <w:rsid w:val="007B1D7D"/>
    <w:rsid w:val="007B6646"/>
    <w:rsid w:val="007C1AE6"/>
    <w:rsid w:val="007C2996"/>
    <w:rsid w:val="007C4BE9"/>
    <w:rsid w:val="007C4F40"/>
    <w:rsid w:val="007C5092"/>
    <w:rsid w:val="007D0540"/>
    <w:rsid w:val="007D2AF7"/>
    <w:rsid w:val="007D4852"/>
    <w:rsid w:val="007D7E09"/>
    <w:rsid w:val="007E29C6"/>
    <w:rsid w:val="007E4CB1"/>
    <w:rsid w:val="007E7A22"/>
    <w:rsid w:val="007F15ED"/>
    <w:rsid w:val="007F6CA3"/>
    <w:rsid w:val="008009BE"/>
    <w:rsid w:val="008019C0"/>
    <w:rsid w:val="008058E4"/>
    <w:rsid w:val="00811524"/>
    <w:rsid w:val="008151D1"/>
    <w:rsid w:val="00815272"/>
    <w:rsid w:val="00817C1D"/>
    <w:rsid w:val="00822AD0"/>
    <w:rsid w:val="00826175"/>
    <w:rsid w:val="00831060"/>
    <w:rsid w:val="00833226"/>
    <w:rsid w:val="0083405D"/>
    <w:rsid w:val="0083430D"/>
    <w:rsid w:val="00837943"/>
    <w:rsid w:val="008421A5"/>
    <w:rsid w:val="008444FB"/>
    <w:rsid w:val="008446D5"/>
    <w:rsid w:val="00853346"/>
    <w:rsid w:val="00861B5C"/>
    <w:rsid w:val="00870D70"/>
    <w:rsid w:val="00871E6E"/>
    <w:rsid w:val="00872005"/>
    <w:rsid w:val="00874D27"/>
    <w:rsid w:val="00884393"/>
    <w:rsid w:val="00884E02"/>
    <w:rsid w:val="0088628C"/>
    <w:rsid w:val="00891FE5"/>
    <w:rsid w:val="008A1FDA"/>
    <w:rsid w:val="008A326E"/>
    <w:rsid w:val="008A39CF"/>
    <w:rsid w:val="008A7631"/>
    <w:rsid w:val="008B4898"/>
    <w:rsid w:val="008C548B"/>
    <w:rsid w:val="008C6A28"/>
    <w:rsid w:val="008D1DCC"/>
    <w:rsid w:val="008D5B7F"/>
    <w:rsid w:val="008D5FFC"/>
    <w:rsid w:val="008D7FD6"/>
    <w:rsid w:val="008F1541"/>
    <w:rsid w:val="008F5F9D"/>
    <w:rsid w:val="008F6930"/>
    <w:rsid w:val="00902108"/>
    <w:rsid w:val="00905CBD"/>
    <w:rsid w:val="0090652A"/>
    <w:rsid w:val="0091013A"/>
    <w:rsid w:val="00912881"/>
    <w:rsid w:val="00912A44"/>
    <w:rsid w:val="0091747A"/>
    <w:rsid w:val="00922465"/>
    <w:rsid w:val="0095109D"/>
    <w:rsid w:val="00965210"/>
    <w:rsid w:val="0096786B"/>
    <w:rsid w:val="009706B0"/>
    <w:rsid w:val="0097211F"/>
    <w:rsid w:val="00975C6F"/>
    <w:rsid w:val="00977E6C"/>
    <w:rsid w:val="00983E9A"/>
    <w:rsid w:val="009863AA"/>
    <w:rsid w:val="0099293D"/>
    <w:rsid w:val="009A249D"/>
    <w:rsid w:val="009C1A06"/>
    <w:rsid w:val="009C3951"/>
    <w:rsid w:val="009D052B"/>
    <w:rsid w:val="009D16B0"/>
    <w:rsid w:val="009D43E6"/>
    <w:rsid w:val="009D52C6"/>
    <w:rsid w:val="009E11DB"/>
    <w:rsid w:val="009F09CC"/>
    <w:rsid w:val="009F0F58"/>
    <w:rsid w:val="00A0239C"/>
    <w:rsid w:val="00A037E8"/>
    <w:rsid w:val="00A13273"/>
    <w:rsid w:val="00A13B3B"/>
    <w:rsid w:val="00A236B7"/>
    <w:rsid w:val="00A2420A"/>
    <w:rsid w:val="00A34288"/>
    <w:rsid w:val="00A34D9E"/>
    <w:rsid w:val="00A43464"/>
    <w:rsid w:val="00A44444"/>
    <w:rsid w:val="00A5378F"/>
    <w:rsid w:val="00A6133E"/>
    <w:rsid w:val="00A63580"/>
    <w:rsid w:val="00A70648"/>
    <w:rsid w:val="00A73CC9"/>
    <w:rsid w:val="00A75FB0"/>
    <w:rsid w:val="00A83202"/>
    <w:rsid w:val="00A90096"/>
    <w:rsid w:val="00A91B11"/>
    <w:rsid w:val="00A9557B"/>
    <w:rsid w:val="00A9654B"/>
    <w:rsid w:val="00AA3721"/>
    <w:rsid w:val="00AB6500"/>
    <w:rsid w:val="00AD51B7"/>
    <w:rsid w:val="00AE3D8D"/>
    <w:rsid w:val="00AE4943"/>
    <w:rsid w:val="00B0150C"/>
    <w:rsid w:val="00B050BB"/>
    <w:rsid w:val="00B10104"/>
    <w:rsid w:val="00B23155"/>
    <w:rsid w:val="00B23A6A"/>
    <w:rsid w:val="00B243A6"/>
    <w:rsid w:val="00B270E4"/>
    <w:rsid w:val="00B3360C"/>
    <w:rsid w:val="00B35665"/>
    <w:rsid w:val="00B37A62"/>
    <w:rsid w:val="00B413E0"/>
    <w:rsid w:val="00B52FA9"/>
    <w:rsid w:val="00B55193"/>
    <w:rsid w:val="00B725FD"/>
    <w:rsid w:val="00B75B6C"/>
    <w:rsid w:val="00B85793"/>
    <w:rsid w:val="00B8672F"/>
    <w:rsid w:val="00B936CB"/>
    <w:rsid w:val="00B96540"/>
    <w:rsid w:val="00BA2CD7"/>
    <w:rsid w:val="00BA36BF"/>
    <w:rsid w:val="00BA4B36"/>
    <w:rsid w:val="00BB12C2"/>
    <w:rsid w:val="00BB6AFE"/>
    <w:rsid w:val="00BC54AD"/>
    <w:rsid w:val="00BC7560"/>
    <w:rsid w:val="00BD2A8E"/>
    <w:rsid w:val="00BE0030"/>
    <w:rsid w:val="00BE4BBE"/>
    <w:rsid w:val="00BF7989"/>
    <w:rsid w:val="00C03F56"/>
    <w:rsid w:val="00C11B20"/>
    <w:rsid w:val="00C23999"/>
    <w:rsid w:val="00C24D6C"/>
    <w:rsid w:val="00C321B6"/>
    <w:rsid w:val="00C41399"/>
    <w:rsid w:val="00C47786"/>
    <w:rsid w:val="00C512E1"/>
    <w:rsid w:val="00C51328"/>
    <w:rsid w:val="00C537B1"/>
    <w:rsid w:val="00C54130"/>
    <w:rsid w:val="00C57B38"/>
    <w:rsid w:val="00C601EA"/>
    <w:rsid w:val="00C63B0D"/>
    <w:rsid w:val="00C71D13"/>
    <w:rsid w:val="00C7201C"/>
    <w:rsid w:val="00C754DB"/>
    <w:rsid w:val="00C82C32"/>
    <w:rsid w:val="00C85D41"/>
    <w:rsid w:val="00C906B4"/>
    <w:rsid w:val="00C90E0B"/>
    <w:rsid w:val="00C9382F"/>
    <w:rsid w:val="00CA1D83"/>
    <w:rsid w:val="00CA74A2"/>
    <w:rsid w:val="00CB2B2E"/>
    <w:rsid w:val="00CB4B29"/>
    <w:rsid w:val="00CB6499"/>
    <w:rsid w:val="00CD23E9"/>
    <w:rsid w:val="00CD3EA3"/>
    <w:rsid w:val="00CD4F08"/>
    <w:rsid w:val="00CD5510"/>
    <w:rsid w:val="00CD6111"/>
    <w:rsid w:val="00CE32E7"/>
    <w:rsid w:val="00CF69C1"/>
    <w:rsid w:val="00CF7B0F"/>
    <w:rsid w:val="00D00123"/>
    <w:rsid w:val="00D00A41"/>
    <w:rsid w:val="00D021B9"/>
    <w:rsid w:val="00D0373A"/>
    <w:rsid w:val="00D04F4B"/>
    <w:rsid w:val="00D06960"/>
    <w:rsid w:val="00D10699"/>
    <w:rsid w:val="00D12976"/>
    <w:rsid w:val="00D171A1"/>
    <w:rsid w:val="00D21489"/>
    <w:rsid w:val="00D24C30"/>
    <w:rsid w:val="00D24D38"/>
    <w:rsid w:val="00D30C6B"/>
    <w:rsid w:val="00D40C04"/>
    <w:rsid w:val="00D4147B"/>
    <w:rsid w:val="00D46CC1"/>
    <w:rsid w:val="00D51D28"/>
    <w:rsid w:val="00D54112"/>
    <w:rsid w:val="00D65616"/>
    <w:rsid w:val="00D73274"/>
    <w:rsid w:val="00D82C98"/>
    <w:rsid w:val="00D840A1"/>
    <w:rsid w:val="00D94F00"/>
    <w:rsid w:val="00D95272"/>
    <w:rsid w:val="00D97ECA"/>
    <w:rsid w:val="00DB005D"/>
    <w:rsid w:val="00DB3030"/>
    <w:rsid w:val="00DB5A22"/>
    <w:rsid w:val="00DC018F"/>
    <w:rsid w:val="00DD7C97"/>
    <w:rsid w:val="00DE09AF"/>
    <w:rsid w:val="00DE72B5"/>
    <w:rsid w:val="00DF2335"/>
    <w:rsid w:val="00DF3199"/>
    <w:rsid w:val="00DF51CC"/>
    <w:rsid w:val="00DF5D67"/>
    <w:rsid w:val="00E03579"/>
    <w:rsid w:val="00E039D9"/>
    <w:rsid w:val="00E04D65"/>
    <w:rsid w:val="00E12969"/>
    <w:rsid w:val="00E168AF"/>
    <w:rsid w:val="00E33107"/>
    <w:rsid w:val="00E34A6E"/>
    <w:rsid w:val="00E403B6"/>
    <w:rsid w:val="00E406D9"/>
    <w:rsid w:val="00E41E2F"/>
    <w:rsid w:val="00E44091"/>
    <w:rsid w:val="00E4501E"/>
    <w:rsid w:val="00E4708C"/>
    <w:rsid w:val="00E610E3"/>
    <w:rsid w:val="00E66A24"/>
    <w:rsid w:val="00E66BFB"/>
    <w:rsid w:val="00E7089F"/>
    <w:rsid w:val="00E720AE"/>
    <w:rsid w:val="00E730DB"/>
    <w:rsid w:val="00E7537A"/>
    <w:rsid w:val="00E75DCF"/>
    <w:rsid w:val="00E81D2A"/>
    <w:rsid w:val="00E83A8B"/>
    <w:rsid w:val="00E87733"/>
    <w:rsid w:val="00E87C87"/>
    <w:rsid w:val="00E95379"/>
    <w:rsid w:val="00E975D6"/>
    <w:rsid w:val="00E9791F"/>
    <w:rsid w:val="00EA105D"/>
    <w:rsid w:val="00EB265B"/>
    <w:rsid w:val="00EB74AB"/>
    <w:rsid w:val="00ED25C3"/>
    <w:rsid w:val="00ED46D6"/>
    <w:rsid w:val="00ED59D0"/>
    <w:rsid w:val="00ED79DB"/>
    <w:rsid w:val="00ED7C56"/>
    <w:rsid w:val="00EE0EBF"/>
    <w:rsid w:val="00EE167A"/>
    <w:rsid w:val="00EE1778"/>
    <w:rsid w:val="00EE3808"/>
    <w:rsid w:val="00EE5191"/>
    <w:rsid w:val="00EE7251"/>
    <w:rsid w:val="00EF19F5"/>
    <w:rsid w:val="00EF2B1B"/>
    <w:rsid w:val="00EF2B9B"/>
    <w:rsid w:val="00EF2EDC"/>
    <w:rsid w:val="00EF44B6"/>
    <w:rsid w:val="00F06C6A"/>
    <w:rsid w:val="00F073E8"/>
    <w:rsid w:val="00F1192C"/>
    <w:rsid w:val="00F1477B"/>
    <w:rsid w:val="00F27D29"/>
    <w:rsid w:val="00F6074F"/>
    <w:rsid w:val="00F629E7"/>
    <w:rsid w:val="00F64A10"/>
    <w:rsid w:val="00F6616C"/>
    <w:rsid w:val="00F729AF"/>
    <w:rsid w:val="00F74C2E"/>
    <w:rsid w:val="00F77DA0"/>
    <w:rsid w:val="00F84AC6"/>
    <w:rsid w:val="00F8590B"/>
    <w:rsid w:val="00F87EC9"/>
    <w:rsid w:val="00F97814"/>
    <w:rsid w:val="00FA016A"/>
    <w:rsid w:val="00FA1943"/>
    <w:rsid w:val="00FA7522"/>
    <w:rsid w:val="00FB1248"/>
    <w:rsid w:val="00FB13E1"/>
    <w:rsid w:val="00FB5CF4"/>
    <w:rsid w:val="00FB6253"/>
    <w:rsid w:val="00FB7414"/>
    <w:rsid w:val="00FC3279"/>
    <w:rsid w:val="00FC55D4"/>
    <w:rsid w:val="00FD5D23"/>
    <w:rsid w:val="00FE386E"/>
    <w:rsid w:val="00FF29DC"/>
    <w:rsid w:val="00FF6F13"/>
    <w:rsid w:val="00FF7CEE"/>
    <w:rsid w:val="03257B30"/>
    <w:rsid w:val="033B56D0"/>
    <w:rsid w:val="0396194E"/>
    <w:rsid w:val="04D86FDC"/>
    <w:rsid w:val="06D6554F"/>
    <w:rsid w:val="0AD35A74"/>
    <w:rsid w:val="0C9B089A"/>
    <w:rsid w:val="0CBB67AC"/>
    <w:rsid w:val="0D5D7DC4"/>
    <w:rsid w:val="0DA32368"/>
    <w:rsid w:val="0F330681"/>
    <w:rsid w:val="0F597DFB"/>
    <w:rsid w:val="109A6EF8"/>
    <w:rsid w:val="11837A22"/>
    <w:rsid w:val="119C142F"/>
    <w:rsid w:val="125961BB"/>
    <w:rsid w:val="135C1537"/>
    <w:rsid w:val="13AB1476"/>
    <w:rsid w:val="13D17DFD"/>
    <w:rsid w:val="13F52A4E"/>
    <w:rsid w:val="140A24E1"/>
    <w:rsid w:val="14D62F61"/>
    <w:rsid w:val="15081D56"/>
    <w:rsid w:val="15366DA1"/>
    <w:rsid w:val="15DE4198"/>
    <w:rsid w:val="17243C53"/>
    <w:rsid w:val="1763261E"/>
    <w:rsid w:val="19CF3BA3"/>
    <w:rsid w:val="1AF5187E"/>
    <w:rsid w:val="1C6B0F51"/>
    <w:rsid w:val="1CEE2BE3"/>
    <w:rsid w:val="1CF04F25"/>
    <w:rsid w:val="214F153D"/>
    <w:rsid w:val="22133B8D"/>
    <w:rsid w:val="225B3521"/>
    <w:rsid w:val="23B12AE6"/>
    <w:rsid w:val="24550022"/>
    <w:rsid w:val="25013592"/>
    <w:rsid w:val="25676898"/>
    <w:rsid w:val="2574046B"/>
    <w:rsid w:val="270C6A77"/>
    <w:rsid w:val="287C45A1"/>
    <w:rsid w:val="294A0855"/>
    <w:rsid w:val="29B80FF4"/>
    <w:rsid w:val="29ED184F"/>
    <w:rsid w:val="2A6A21F7"/>
    <w:rsid w:val="2B12310E"/>
    <w:rsid w:val="2C4F1D9A"/>
    <w:rsid w:val="2D051C5B"/>
    <w:rsid w:val="2DC2494B"/>
    <w:rsid w:val="2F6F547F"/>
    <w:rsid w:val="302208F9"/>
    <w:rsid w:val="31F076FE"/>
    <w:rsid w:val="32473E2F"/>
    <w:rsid w:val="3288550A"/>
    <w:rsid w:val="329258ED"/>
    <w:rsid w:val="3297635D"/>
    <w:rsid w:val="33D95551"/>
    <w:rsid w:val="33EA5BD2"/>
    <w:rsid w:val="33EE145A"/>
    <w:rsid w:val="34F1338D"/>
    <w:rsid w:val="35EE4353"/>
    <w:rsid w:val="3609155F"/>
    <w:rsid w:val="377D5229"/>
    <w:rsid w:val="39691F1B"/>
    <w:rsid w:val="3BA82E55"/>
    <w:rsid w:val="3BB63B48"/>
    <w:rsid w:val="3D8C43D6"/>
    <w:rsid w:val="3F695B8F"/>
    <w:rsid w:val="41BE597C"/>
    <w:rsid w:val="41E76122"/>
    <w:rsid w:val="42556B3C"/>
    <w:rsid w:val="447A4B7B"/>
    <w:rsid w:val="47562D51"/>
    <w:rsid w:val="47EE3925"/>
    <w:rsid w:val="48453BC7"/>
    <w:rsid w:val="49AB1A12"/>
    <w:rsid w:val="4AC00EBA"/>
    <w:rsid w:val="4AE309F6"/>
    <w:rsid w:val="4AFD0E3E"/>
    <w:rsid w:val="4B4D54F1"/>
    <w:rsid w:val="4CA403AE"/>
    <w:rsid w:val="4DF9171D"/>
    <w:rsid w:val="4F8D72A6"/>
    <w:rsid w:val="50DB26D2"/>
    <w:rsid w:val="51D756D4"/>
    <w:rsid w:val="51E71970"/>
    <w:rsid w:val="527841B4"/>
    <w:rsid w:val="52CC71D1"/>
    <w:rsid w:val="53DC3D5F"/>
    <w:rsid w:val="53FD1767"/>
    <w:rsid w:val="56493706"/>
    <w:rsid w:val="565C42B5"/>
    <w:rsid w:val="56987A1E"/>
    <w:rsid w:val="574E7D68"/>
    <w:rsid w:val="584F7AA4"/>
    <w:rsid w:val="59250915"/>
    <w:rsid w:val="5A385161"/>
    <w:rsid w:val="5A750C24"/>
    <w:rsid w:val="5AEB372D"/>
    <w:rsid w:val="5D8C73E5"/>
    <w:rsid w:val="5DBA074F"/>
    <w:rsid w:val="5E1B0741"/>
    <w:rsid w:val="616B144A"/>
    <w:rsid w:val="617E11E1"/>
    <w:rsid w:val="61AC718A"/>
    <w:rsid w:val="61B41B8A"/>
    <w:rsid w:val="624C05D4"/>
    <w:rsid w:val="635A03E1"/>
    <w:rsid w:val="63A45914"/>
    <w:rsid w:val="656F7C33"/>
    <w:rsid w:val="6B2F3925"/>
    <w:rsid w:val="6BEC4697"/>
    <w:rsid w:val="6D5219B2"/>
    <w:rsid w:val="6DF9440E"/>
    <w:rsid w:val="6E8E5471"/>
    <w:rsid w:val="6EC74328"/>
    <w:rsid w:val="6FA36659"/>
    <w:rsid w:val="70F015EE"/>
    <w:rsid w:val="716E46DA"/>
    <w:rsid w:val="731C6F4D"/>
    <w:rsid w:val="73692AD9"/>
    <w:rsid w:val="74412A76"/>
    <w:rsid w:val="74E21D58"/>
    <w:rsid w:val="75DE3B22"/>
    <w:rsid w:val="764C4299"/>
    <w:rsid w:val="76DA1B59"/>
    <w:rsid w:val="78B90C9C"/>
    <w:rsid w:val="7A4563D0"/>
    <w:rsid w:val="7A7B26AD"/>
    <w:rsid w:val="7B1A5DEB"/>
    <w:rsid w:val="7BE028FC"/>
    <w:rsid w:val="7C0611DE"/>
    <w:rsid w:val="7C552551"/>
    <w:rsid w:val="7C6767F3"/>
  </w:rsids>
  <m:mathPr>
    <m:mathFont m:val="Cambria Math"/>
    <m:brkBin m:val="before"/>
    <m:brkBinSub m:val="--"/>
    <m:smallFrac m:val="0"/>
    <m:dispDef/>
    <m:lMargin m:val="0"/>
    <m:rMargin m:val="0"/>
    <m:defJc m:val="centerGroup"/>
    <m:wrapRight/>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E9326B"/>
  <w15:docId w15:val="{E065F413-445D-4345-B60F-E946EE82E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uiPriority="9"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nhideWhenUsed="1"/>
    <w:lsdException w:name="footnote text" w:semiHidden="1" w:unhideWhenUsed="1"/>
    <w:lsdException w:name="annotation text" w:semiHidden="1" w:uiPriority="0"/>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lang w:val="en-US" w:eastAsia="zh-CN"/>
    </w:rPr>
  </w:style>
  <w:style w:type="paragraph" w:styleId="Heading2">
    <w:name w:val="heading 2"/>
    <w:basedOn w:val="Normal"/>
    <w:next w:val="NormalIndent"/>
    <w:link w:val="Heading2Char"/>
    <w:qFormat/>
    <w:pPr>
      <w:keepNext/>
      <w:overflowPunct w:val="0"/>
      <w:autoSpaceDE w:val="0"/>
      <w:autoSpaceDN w:val="0"/>
      <w:adjustRightInd w:val="0"/>
      <w:spacing w:line="160" w:lineRule="atLeast"/>
      <w:textAlignment w:val="baseline"/>
      <w:outlineLvl w:val="1"/>
    </w:pPr>
    <w:rPr>
      <w:b/>
      <w:bCs/>
      <w:kern w:val="0"/>
      <w:sz w:val="18"/>
      <w:szCs w:val="18"/>
      <w:lang w:eastAsia="en-US"/>
    </w:rPr>
  </w:style>
  <w:style w:type="paragraph" w:styleId="Heading3">
    <w:name w:val="heading 3"/>
    <w:basedOn w:val="Normal"/>
    <w:next w:val="Normal"/>
    <w:uiPriority w:val="9"/>
    <w:qFormat/>
    <w:pPr>
      <w:keepNext/>
      <w:keepLines/>
      <w:spacing w:before="260" w:after="260" w:line="413" w:lineRule="auto"/>
      <w:outlineLvl w:val="2"/>
    </w:pPr>
    <w:rPr>
      <w:b/>
      <w:sz w:val="32"/>
    </w:rPr>
  </w:style>
  <w:style w:type="paragraph" w:styleId="Heading5">
    <w:name w:val="heading 5"/>
    <w:basedOn w:val="Normal"/>
    <w:next w:val="Normal"/>
    <w:link w:val="Heading5Char"/>
    <w:uiPriority w:val="9"/>
    <w:qFormat/>
    <w:pPr>
      <w:keepNext/>
      <w:keepLines/>
      <w:spacing w:before="280" w:after="290" w:line="376" w:lineRule="auto"/>
      <w:outlineLvl w:val="4"/>
    </w:pPr>
    <w:rPr>
      <w:b/>
      <w:bCs/>
      <w:sz w:val="28"/>
      <w:szCs w:val="28"/>
    </w:rPr>
  </w:style>
  <w:style w:type="paragraph" w:styleId="Heading7">
    <w:name w:val="heading 7"/>
    <w:basedOn w:val="Normal"/>
    <w:next w:val="Normal"/>
    <w:link w:val="Heading7Char"/>
    <w:uiPriority w:val="9"/>
    <w:qFormat/>
    <w:pPr>
      <w:keepNext/>
      <w:keepLines/>
      <w:spacing w:before="240" w:after="64" w:line="320" w:lineRule="auto"/>
      <w:outlineLvl w:val="6"/>
    </w:pPr>
    <w:rPr>
      <w:b/>
      <w:bCs/>
      <w:sz w:val="24"/>
    </w:rPr>
  </w:style>
  <w:style w:type="paragraph" w:styleId="Heading8">
    <w:name w:val="heading 8"/>
    <w:basedOn w:val="Normal"/>
    <w:next w:val="Normal"/>
    <w:link w:val="Heading8Char"/>
    <w:qFormat/>
    <w:pPr>
      <w:keepNext/>
      <w:overflowPunct w:val="0"/>
      <w:autoSpaceDE w:val="0"/>
      <w:autoSpaceDN w:val="0"/>
      <w:adjustRightInd w:val="0"/>
      <w:spacing w:line="210" w:lineRule="exact"/>
      <w:jc w:val="center"/>
      <w:textAlignment w:val="baseline"/>
      <w:outlineLvl w:val="7"/>
    </w:pPr>
    <w:rPr>
      <w:b/>
      <w:bCs/>
      <w:color w:val="FFFFFF"/>
      <w:kern w:val="0"/>
      <w:sz w:val="18"/>
      <w:szCs w:val="18"/>
      <w:shd w:val="clear" w:color="auto" w:fill="0000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SimSun" w:hAnsi="Times New Roman" w:cs="Times New Roman"/>
      <w:b/>
      <w:bCs/>
      <w:kern w:val="0"/>
      <w:sz w:val="18"/>
      <w:szCs w:val="18"/>
      <w:lang w:eastAsia="en-US"/>
    </w:rPr>
  </w:style>
  <w:style w:type="paragraph" w:styleId="NormalIndent">
    <w:name w:val="Normal Indent"/>
    <w:basedOn w:val="Normal"/>
    <w:uiPriority w:val="99"/>
    <w:unhideWhenUsed/>
    <w:pPr>
      <w:ind w:firstLineChars="200" w:firstLine="420"/>
    </w:pPr>
  </w:style>
  <w:style w:type="character" w:customStyle="1" w:styleId="Heading5Char">
    <w:name w:val="Heading 5 Char"/>
    <w:link w:val="Heading5"/>
    <w:uiPriority w:val="9"/>
    <w:semiHidden/>
    <w:rPr>
      <w:rFonts w:ascii="Times New Roman" w:hAnsi="Times New Roman"/>
      <w:b/>
      <w:bCs/>
      <w:kern w:val="2"/>
      <w:sz w:val="28"/>
      <w:szCs w:val="28"/>
    </w:rPr>
  </w:style>
  <w:style w:type="character" w:customStyle="1" w:styleId="Heading7Char">
    <w:name w:val="Heading 7 Char"/>
    <w:link w:val="Heading7"/>
    <w:uiPriority w:val="9"/>
    <w:semiHidden/>
    <w:rPr>
      <w:rFonts w:ascii="Times New Roman" w:hAnsi="Times New Roman"/>
      <w:b/>
      <w:bCs/>
      <w:kern w:val="2"/>
      <w:sz w:val="24"/>
      <w:szCs w:val="24"/>
    </w:rPr>
  </w:style>
  <w:style w:type="character" w:customStyle="1" w:styleId="Heading8Char">
    <w:name w:val="Heading 8 Char"/>
    <w:link w:val="Heading8"/>
    <w:rPr>
      <w:rFonts w:ascii="Times New Roman" w:eastAsia="SimSun" w:hAnsi="Times New Roman" w:cs="Times New Roman"/>
      <w:b/>
      <w:bCs/>
      <w:color w:val="FFFFFF"/>
      <w:kern w:val="0"/>
      <w:sz w:val="18"/>
      <w:szCs w:val="18"/>
    </w:rPr>
  </w:style>
  <w:style w:type="paragraph" w:styleId="CommentText">
    <w:name w:val="annotation text"/>
    <w:basedOn w:val="Normal"/>
    <w:link w:val="CommentTextChar"/>
    <w:semiHidden/>
    <w:rPr>
      <w:sz w:val="20"/>
      <w:szCs w:val="20"/>
    </w:rPr>
  </w:style>
  <w:style w:type="character" w:customStyle="1" w:styleId="CommentTextChar">
    <w:name w:val="Comment Text Char"/>
    <w:link w:val="CommentText"/>
    <w:semiHidden/>
    <w:rPr>
      <w:rFonts w:ascii="Times New Roman" w:hAnsi="Times New Roman"/>
      <w:kern w:val="2"/>
    </w:rPr>
  </w:style>
  <w:style w:type="paragraph" w:styleId="BodyText3">
    <w:name w:val="Body Text 3"/>
    <w:basedOn w:val="Normal"/>
    <w:link w:val="BodyText3Char"/>
    <w:pPr>
      <w:overflowPunct w:val="0"/>
      <w:autoSpaceDE w:val="0"/>
      <w:autoSpaceDN w:val="0"/>
      <w:adjustRightInd w:val="0"/>
      <w:spacing w:line="204" w:lineRule="exact"/>
      <w:ind w:right="-76"/>
      <w:textAlignment w:val="baseline"/>
    </w:pPr>
    <w:rPr>
      <w:color w:val="0000FF"/>
      <w:spacing w:val="-4"/>
      <w:kern w:val="0"/>
      <w:sz w:val="18"/>
      <w:szCs w:val="18"/>
      <w:lang w:eastAsia="en-US"/>
    </w:rPr>
  </w:style>
  <w:style w:type="character" w:customStyle="1" w:styleId="BodyText3Char">
    <w:name w:val="Body Text 3 Char"/>
    <w:link w:val="BodyText3"/>
    <w:rPr>
      <w:rFonts w:ascii="Times New Roman" w:eastAsia="SimSun" w:hAnsi="Times New Roman" w:cs="Times New Roman"/>
      <w:color w:val="0000FF"/>
      <w:spacing w:val="-4"/>
      <w:kern w:val="0"/>
      <w:sz w:val="18"/>
      <w:szCs w:val="18"/>
      <w:lang w:eastAsia="en-US"/>
    </w:rPr>
  </w:style>
  <w:style w:type="paragraph" w:styleId="BodyText">
    <w:name w:val="Body Text"/>
    <w:basedOn w:val="Normal"/>
    <w:link w:val="BodyTextChar"/>
    <w:pPr>
      <w:overflowPunct w:val="0"/>
      <w:autoSpaceDE w:val="0"/>
      <w:autoSpaceDN w:val="0"/>
      <w:adjustRightInd w:val="0"/>
      <w:spacing w:before="120" w:after="120"/>
      <w:textAlignment w:val="baseline"/>
    </w:pPr>
    <w:rPr>
      <w:i/>
      <w:iCs/>
      <w:color w:val="0000FF"/>
      <w:kern w:val="0"/>
      <w:sz w:val="18"/>
      <w:szCs w:val="18"/>
      <w:lang w:eastAsia="en-US"/>
    </w:rPr>
  </w:style>
  <w:style w:type="character" w:customStyle="1" w:styleId="BodyTextChar">
    <w:name w:val="Body Text Char"/>
    <w:link w:val="BodyText"/>
    <w:rPr>
      <w:rFonts w:ascii="Times New Roman" w:eastAsia="SimSun" w:hAnsi="Times New Roman" w:cs="Times New Roman"/>
      <w:i/>
      <w:iCs/>
      <w:color w:val="0000FF"/>
      <w:kern w:val="0"/>
      <w:sz w:val="18"/>
      <w:szCs w:val="18"/>
      <w:lang w:eastAsia="en-US"/>
    </w:rPr>
  </w:style>
  <w:style w:type="paragraph" w:styleId="BodyTextIndent2">
    <w:name w:val="Body Text Indent 2"/>
    <w:basedOn w:val="Normal"/>
    <w:link w:val="BodyTextIndent2Char"/>
    <w:pPr>
      <w:overflowPunct w:val="0"/>
      <w:autoSpaceDE w:val="0"/>
      <w:autoSpaceDN w:val="0"/>
      <w:adjustRightInd w:val="0"/>
      <w:spacing w:line="160" w:lineRule="atLeast"/>
      <w:ind w:left="360" w:hanging="360"/>
      <w:textAlignment w:val="baseline"/>
    </w:pPr>
    <w:rPr>
      <w:rFonts w:eastAsia="??¨¬?"/>
      <w:color w:val="0000FF"/>
      <w:spacing w:val="4"/>
      <w:kern w:val="0"/>
      <w:sz w:val="18"/>
      <w:szCs w:val="18"/>
    </w:rPr>
  </w:style>
  <w:style w:type="character" w:customStyle="1" w:styleId="BodyTextIndent2Char">
    <w:name w:val="Body Text Indent 2 Char"/>
    <w:link w:val="BodyTextIndent2"/>
    <w:rPr>
      <w:rFonts w:ascii="Times New Roman" w:eastAsia="??¨¬?" w:hAnsi="Times New Roman" w:cs="Times New Roman"/>
      <w:color w:val="0000FF"/>
      <w:spacing w:val="4"/>
      <w:kern w:val="0"/>
      <w:sz w:val="18"/>
      <w:szCs w:val="18"/>
    </w:rPr>
  </w:style>
  <w:style w:type="paragraph" w:styleId="BalloonText">
    <w:name w:val="Balloon Text"/>
    <w:basedOn w:val="Normal"/>
    <w:link w:val="BalloonTextChar"/>
    <w:uiPriority w:val="99"/>
    <w:unhideWhenUsed/>
    <w:rPr>
      <w:kern w:val="0"/>
      <w:sz w:val="18"/>
      <w:szCs w:val="18"/>
    </w:rPr>
  </w:style>
  <w:style w:type="character" w:customStyle="1" w:styleId="BalloonTextChar">
    <w:name w:val="Balloon Text Char"/>
    <w:link w:val="BalloonText"/>
    <w:uiPriority w:val="99"/>
    <w:semiHidden/>
    <w:rPr>
      <w:rFonts w:ascii="Times New Roman" w:eastAsia="SimSun" w:hAnsi="Times New Roman" w:cs="Times New Roman"/>
      <w:sz w:val="18"/>
      <w:szCs w:val="18"/>
    </w:rPr>
  </w:style>
  <w:style w:type="paragraph" w:styleId="Footer">
    <w:name w:val="footer"/>
    <w:basedOn w:val="Normal"/>
    <w:link w:val="FooterChar"/>
    <w:uiPriority w:val="99"/>
    <w:unhideWhenUsed/>
    <w:pPr>
      <w:tabs>
        <w:tab w:val="center" w:pos="4153"/>
        <w:tab w:val="right" w:pos="8306"/>
      </w:tabs>
      <w:snapToGrid w:val="0"/>
      <w:jc w:val="left"/>
    </w:pPr>
    <w:rPr>
      <w:kern w:val="0"/>
      <w:sz w:val="18"/>
      <w:szCs w:val="18"/>
    </w:rPr>
  </w:style>
  <w:style w:type="character" w:customStyle="1" w:styleId="FooterChar">
    <w:name w:val="Footer Char"/>
    <w:link w:val="Footer"/>
    <w:uiPriority w:val="99"/>
    <w:semiHidden/>
    <w:rPr>
      <w:sz w:val="18"/>
      <w:szCs w:val="18"/>
    </w:rPr>
  </w:style>
  <w:style w:type="paragraph" w:styleId="Header">
    <w:name w:val="header"/>
    <w:basedOn w:val="Normal"/>
    <w:link w:val="HeaderChar"/>
    <w:uiPriority w:val="99"/>
    <w:unhideWhenUsed/>
    <w:pPr>
      <w:pBdr>
        <w:bottom w:val="single" w:sz="6" w:space="1" w:color="auto"/>
      </w:pBdr>
      <w:tabs>
        <w:tab w:val="center" w:pos="4153"/>
        <w:tab w:val="right" w:pos="8306"/>
      </w:tabs>
      <w:snapToGrid w:val="0"/>
      <w:jc w:val="center"/>
    </w:pPr>
    <w:rPr>
      <w:kern w:val="0"/>
      <w:sz w:val="18"/>
      <w:szCs w:val="18"/>
    </w:rPr>
  </w:style>
  <w:style w:type="character" w:customStyle="1" w:styleId="HeaderChar">
    <w:name w:val="Header Char"/>
    <w:link w:val="Header"/>
    <w:uiPriority w:val="99"/>
    <w:semiHidden/>
    <w:rPr>
      <w:sz w:val="18"/>
      <w:szCs w:val="18"/>
    </w:rPr>
  </w:style>
  <w:style w:type="paragraph" w:styleId="BodyText2">
    <w:name w:val="Body Text 2"/>
    <w:basedOn w:val="Normal"/>
    <w:link w:val="BodyText2Char"/>
    <w:pPr>
      <w:overflowPunct w:val="0"/>
      <w:autoSpaceDE w:val="0"/>
      <w:autoSpaceDN w:val="0"/>
      <w:adjustRightInd w:val="0"/>
      <w:textAlignment w:val="baseline"/>
    </w:pPr>
    <w:rPr>
      <w:color w:val="0000FF"/>
      <w:kern w:val="0"/>
      <w:sz w:val="18"/>
      <w:szCs w:val="18"/>
      <w:lang w:eastAsia="en-US"/>
    </w:rPr>
  </w:style>
  <w:style w:type="character" w:customStyle="1" w:styleId="BodyText2Char">
    <w:name w:val="Body Text 2 Char"/>
    <w:link w:val="BodyText2"/>
    <w:rPr>
      <w:rFonts w:ascii="Times New Roman" w:eastAsia="SimSun" w:hAnsi="Times New Roman" w:cs="Times New Roman"/>
      <w:color w:val="0000FF"/>
      <w:kern w:val="0"/>
      <w:sz w:val="18"/>
      <w:szCs w:val="18"/>
      <w:lang w:eastAsia="en-US"/>
    </w:rPr>
  </w:style>
  <w:style w:type="paragraph" w:styleId="NormalWeb">
    <w:name w:val="Normal (Web)"/>
    <w:basedOn w:val="Normal"/>
    <w:uiPriority w:val="99"/>
    <w:unhideWhenUsed/>
    <w:qFormat/>
    <w:pPr>
      <w:widowControl/>
      <w:spacing w:before="100" w:beforeAutospacing="1" w:after="100" w:afterAutospacing="1"/>
      <w:jc w:val="left"/>
    </w:pPr>
    <w:rPr>
      <w:rFonts w:ascii="SimSun" w:hAnsi="SimSun" w:cs="SimSun"/>
      <w:kern w:val="0"/>
      <w:sz w:val="24"/>
    </w:rPr>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Pr>
      <w:color w:val="0000FF"/>
      <w:u w:val="single"/>
    </w:rPr>
  </w:style>
  <w:style w:type="character" w:customStyle="1" w:styleId="3">
    <w:name w:val="正文文本 3 字符"/>
    <w:rPr>
      <w:rFonts w:ascii="Times New Roman" w:eastAsia="SimSun" w:hAnsi="Times New Roman" w:cs="Times New Roman"/>
      <w:color w:val="0000FF"/>
      <w:spacing w:val="-4"/>
      <w:kern w:val="0"/>
      <w:sz w:val="18"/>
      <w:szCs w:val="18"/>
      <w:lang w:eastAsia="en-US"/>
    </w:rPr>
  </w:style>
  <w:style w:type="character" w:customStyle="1" w:styleId="2">
    <w:name w:val="正文文本缩进 2 字符"/>
    <w:rPr>
      <w:rFonts w:ascii="Times New Roman" w:eastAsia="??¨¬?" w:hAnsi="Times New Roman" w:cs="Times New Roman"/>
      <w:color w:val="0000FF"/>
      <w:spacing w:val="4"/>
      <w:kern w:val="0"/>
      <w:sz w:val="18"/>
      <w:szCs w:val="18"/>
    </w:rPr>
  </w:style>
  <w:style w:type="character" w:customStyle="1" w:styleId="apple-converted-space">
    <w:name w:val="apple-converted-space"/>
  </w:style>
  <w:style w:type="paragraph" w:customStyle="1" w:styleId="a">
    <w:name w:val="±ê×¼"/>
    <w:basedOn w:val="Normal"/>
    <w:pPr>
      <w:overflowPunct w:val="0"/>
      <w:autoSpaceDE w:val="0"/>
      <w:autoSpaceDN w:val="0"/>
      <w:adjustRightInd w:val="0"/>
      <w:spacing w:line="160" w:lineRule="atLeast"/>
      <w:ind w:left="425" w:hanging="425"/>
      <w:textAlignment w:val="baseline"/>
    </w:pPr>
    <w:rPr>
      <w:rFonts w:ascii="SimSun"/>
      <w:kern w:val="0"/>
      <w:sz w:val="18"/>
      <w:szCs w:val="18"/>
      <w:lang w:eastAsia="en-US"/>
    </w:rPr>
  </w:style>
  <w:style w:type="paragraph" w:customStyle="1" w:styleId="1">
    <w:name w:val="ÑùÊ½1"/>
    <w:basedOn w:val="Normal"/>
    <w:pPr>
      <w:spacing w:line="160" w:lineRule="atLeast"/>
    </w:pPr>
    <w:rPr>
      <w:rFonts w:eastAsia="Times New Roman"/>
      <w:kern w:val="0"/>
      <w:sz w:val="18"/>
      <w:szCs w:val="18"/>
      <w:lang w:eastAsia="en-US"/>
    </w:rPr>
  </w:style>
  <w:style w:type="paragraph" w:customStyle="1" w:styleId="Default">
    <w:name w:val="Default"/>
    <w:pPr>
      <w:widowControl w:val="0"/>
      <w:autoSpaceDE w:val="0"/>
      <w:autoSpaceDN w:val="0"/>
      <w:adjustRightInd w:val="0"/>
    </w:pPr>
    <w:rPr>
      <w:rFonts w:ascii="Arial" w:hAnsi="Arial" w:cs="Arial"/>
      <w:color w:val="000000"/>
      <w:sz w:val="24"/>
      <w:szCs w:val="24"/>
      <w:lang w:val="en-US" w:eastAsia="zh-CN"/>
    </w:rPr>
  </w:style>
  <w:style w:type="character" w:customStyle="1" w:styleId="fontstyle01">
    <w:name w:val="fontstyle01"/>
    <w:rPr>
      <w:rFonts w:ascii="Times New Roman" w:hAnsi="Times New Roman" w:cs="Times New Roman" w:hint="default"/>
      <w:color w:val="000000"/>
      <w:sz w:val="12"/>
      <w:szCs w:val="12"/>
    </w:rPr>
  </w:style>
  <w:style w:type="character" w:customStyle="1" w:styleId="31">
    <w:name w:val="正文文本 3 字符1"/>
    <w:rsid w:val="00ED79DB"/>
    <w:rPr>
      <w:rFonts w:ascii="Times New Roman" w:eastAsia="SimSun" w:hAnsi="Times New Roman" w:cs="Times New Roman"/>
      <w:color w:val="0000FF"/>
      <w:spacing w:val="-4"/>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Tranquilizer" TargetMode="External"/><Relationship Id="rId18" Type="http://schemas.openxmlformats.org/officeDocument/2006/relationships/hyperlink" Target="https://en.wikipedia.org/wiki/Benzodiazepine_withdrawal_syndrome" TargetMode="Externa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en.wikipedia.org/wiki/Akathisia" TargetMode="External"/><Relationship Id="rId17" Type="http://schemas.openxmlformats.org/officeDocument/2006/relationships/hyperlink" Target="https://en.wikipedia.org/wiki/Benzodiazepine_dependence" TargetMode="Externa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en.wikipedia.org/wiki/Drug_tolerance" TargetMode="External"/><Relationship Id="rId20" Type="http://schemas.openxmlformats.org/officeDocument/2006/relationships/hyperlink" Target="https://en.wikipedia.org/wiki/Gamma-Aminobutyric_aci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Movement_disorder" TargetMode="Externa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en.wikipedia.org/wiki/Long-term_effects_of_benzodiazepines" TargetMode="External"/><Relationship Id="rId23" Type="http://schemas.openxmlformats.org/officeDocument/2006/relationships/image" Target="media/image4.png"/><Relationship Id="rId28" Type="http://schemas.openxmlformats.org/officeDocument/2006/relationships/fontTable" Target="fontTable.xml"/><Relationship Id="rId10" Type="http://schemas.openxmlformats.org/officeDocument/2006/relationships/hyperlink" Target="https://en.wikipedia.org/wiki/Panic_disorder" TargetMode="External"/><Relationship Id="rId19" Type="http://schemas.openxmlformats.org/officeDocument/2006/relationships/hyperlink" Target="https://en.wikipedia.org/wiki/Suicide" TargetMode="External"/><Relationship Id="rId4" Type="http://schemas.openxmlformats.org/officeDocument/2006/relationships/settings" Target="settings.xml"/><Relationship Id="rId9" Type="http://schemas.openxmlformats.org/officeDocument/2006/relationships/hyperlink" Target="https://en.wikipedia.org/wiki/Seizures" TargetMode="External"/><Relationship Id="rId14" Type="http://schemas.openxmlformats.org/officeDocument/2006/relationships/hyperlink" Target="https://en.wikipedia.org/wiki/Benzodiazepine" TargetMode="External"/><Relationship Id="rId22" Type="http://schemas.openxmlformats.org/officeDocument/2006/relationships/image" Target="media/image3.png"/><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32614-B891-4BCB-B24B-405A0ACD2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12013</Words>
  <Characters>70881</Characters>
  <Application>Microsoft Office Word</Application>
  <DocSecurity>0</DocSecurity>
  <Lines>590</Lines>
  <Paragraphs>165</Paragraphs>
  <ScaleCrop>false</ScaleCrop>
  <Company>Hewlett-Packard</Company>
  <LinksUpToDate>false</LinksUpToDate>
  <CharactersWithSpaces>82729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方少华</dc:creator>
  <cp:lastModifiedBy>Jirka Tuček</cp:lastModifiedBy>
  <cp:revision>38</cp:revision>
  <cp:lastPrinted>2018-04-04T02:44:00Z</cp:lastPrinted>
  <dcterms:created xsi:type="dcterms:W3CDTF">2022-02-17T02:32:00Z</dcterms:created>
  <dcterms:modified xsi:type="dcterms:W3CDTF">2026-05-22T06:51:00Z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BBB427D93D054EC59FFDD2FF883F9C70</vt:lpwstr>
  </property>
  <property fmtid="{D5CDD505-2E9C-101B-9397-08002B2CF9AE}" pid="3" name="KSOProductBuildVer">
    <vt:lpwstr>2052-11.8.6.11546</vt:lpwstr>
  </property>
</Properties>
</file>